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7E" w:rsidRDefault="002E257E" w:rsidP="002E257E">
      <w:pPr>
        <w:rPr>
          <w:rFonts w:ascii="Arial" w:hAnsi="Arial" w:cs="Arial"/>
          <w:b/>
        </w:rPr>
      </w:pPr>
    </w:p>
    <w:p w:rsidR="002E257E" w:rsidRDefault="002E257E" w:rsidP="002E257E">
      <w:pPr>
        <w:jc w:val="center"/>
        <w:rPr>
          <w:rFonts w:ascii="Arial" w:hAnsi="Arial" w:cs="Arial"/>
          <w:b/>
        </w:rPr>
      </w:pPr>
      <w:r>
        <w:rPr>
          <w:rFonts w:ascii="Arial" w:hAnsi="Arial" w:cs="Arial"/>
          <w:b/>
        </w:rPr>
        <w:t>Sezonas tirdzniecības atļauja  alkoholisko dzērienu mazumtirdzniecībai novietnē</w:t>
      </w:r>
    </w:p>
    <w:p w:rsidR="002E257E" w:rsidRDefault="002E257E" w:rsidP="002E257E">
      <w:pPr>
        <w:jc w:val="cente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086"/>
        <w:gridCol w:w="5542"/>
      </w:tblGrid>
      <w:tr w:rsidR="002E257E" w:rsidTr="00A05135">
        <w:tc>
          <w:tcPr>
            <w:tcW w:w="516" w:type="dxa"/>
          </w:tcPr>
          <w:p w:rsidR="002E257E" w:rsidRPr="004F7EF8" w:rsidRDefault="002E257E" w:rsidP="00A05135">
            <w:pPr>
              <w:rPr>
                <w:b/>
                <w:sz w:val="19"/>
                <w:szCs w:val="19"/>
              </w:rPr>
            </w:pPr>
            <w:r w:rsidRPr="004F7EF8">
              <w:rPr>
                <w:b/>
                <w:sz w:val="19"/>
                <w:szCs w:val="19"/>
              </w:rPr>
              <w:t>1.</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nosaukums</w:t>
            </w:r>
          </w:p>
          <w:p w:rsidR="002E257E" w:rsidRPr="004F7EF8" w:rsidRDefault="002E257E" w:rsidP="00A05135">
            <w:pPr>
              <w:rPr>
                <w:rFonts w:ascii="Arial" w:hAnsi="Arial" w:cs="Arial"/>
                <w:b/>
                <w:sz w:val="20"/>
                <w:szCs w:val="20"/>
              </w:rPr>
            </w:pPr>
          </w:p>
        </w:tc>
        <w:tc>
          <w:tcPr>
            <w:tcW w:w="5580" w:type="dxa"/>
          </w:tcPr>
          <w:p w:rsidR="002E257E" w:rsidRPr="00D843FD" w:rsidRDefault="002E257E" w:rsidP="002E257E">
            <w:pPr>
              <w:jc w:val="center"/>
              <w:rPr>
                <w:rFonts w:ascii="Arial" w:hAnsi="Arial" w:cs="Arial"/>
                <w:b/>
              </w:rPr>
            </w:pPr>
            <w:r>
              <w:rPr>
                <w:rFonts w:ascii="Arial" w:hAnsi="Arial" w:cs="Arial"/>
                <w:b/>
              </w:rPr>
              <w:t>Sezonas tirdzniecības atļauja alkoholisko dzērienu mazumtirdzniecībai novietnē</w:t>
            </w:r>
          </w:p>
        </w:tc>
      </w:tr>
      <w:tr w:rsidR="002E257E" w:rsidTr="00A05135">
        <w:tc>
          <w:tcPr>
            <w:tcW w:w="516" w:type="dxa"/>
          </w:tcPr>
          <w:p w:rsidR="002E257E" w:rsidRPr="004F7EF8" w:rsidRDefault="002E257E" w:rsidP="00A05135">
            <w:pPr>
              <w:rPr>
                <w:b/>
                <w:sz w:val="19"/>
                <w:szCs w:val="19"/>
              </w:rPr>
            </w:pPr>
            <w:r w:rsidRPr="004F7EF8">
              <w:rPr>
                <w:b/>
                <w:sz w:val="19"/>
                <w:szCs w:val="19"/>
              </w:rPr>
              <w:t>2.</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turētājs</w:t>
            </w:r>
          </w:p>
        </w:tc>
        <w:tc>
          <w:tcPr>
            <w:tcW w:w="5580" w:type="dxa"/>
          </w:tcPr>
          <w:p w:rsidR="002E257E" w:rsidRPr="004F7EF8" w:rsidRDefault="002E257E" w:rsidP="00A05135">
            <w:pPr>
              <w:rPr>
                <w:rFonts w:ascii="Arial" w:hAnsi="Arial" w:cs="Arial"/>
                <w:b/>
                <w:sz w:val="20"/>
                <w:szCs w:val="20"/>
              </w:rPr>
            </w:pPr>
            <w:r w:rsidRPr="004F7EF8">
              <w:rPr>
                <w:rFonts w:ascii="Arial" w:hAnsi="Arial" w:cs="Arial"/>
                <w:b/>
                <w:sz w:val="20"/>
                <w:szCs w:val="20"/>
              </w:rPr>
              <w:t>Salacgrīvas novada dome</w:t>
            </w:r>
          </w:p>
          <w:p w:rsidR="002E257E" w:rsidRPr="004F7EF8" w:rsidRDefault="002E257E" w:rsidP="00A05135">
            <w:pPr>
              <w:rPr>
                <w:rFonts w:ascii="Arial" w:hAnsi="Arial" w:cs="Arial"/>
                <w:sz w:val="20"/>
                <w:szCs w:val="20"/>
              </w:rPr>
            </w:pPr>
            <w:r>
              <w:rPr>
                <w:rFonts w:ascii="Arial" w:hAnsi="Arial" w:cs="Arial"/>
                <w:sz w:val="20"/>
                <w:szCs w:val="20"/>
              </w:rPr>
              <w:t xml:space="preserve">109.kab. Klientu apkalpošanas centrs, </w:t>
            </w:r>
            <w:r w:rsidRPr="004F7EF8">
              <w:rPr>
                <w:rFonts w:ascii="Arial" w:hAnsi="Arial" w:cs="Arial"/>
                <w:sz w:val="20"/>
                <w:szCs w:val="20"/>
              </w:rPr>
              <w:t>Smilšu ielā Nr.9, Salacgrīva, Salacgrīvas novads,  LV- 4033</w:t>
            </w:r>
          </w:p>
          <w:p w:rsidR="002E257E" w:rsidRPr="004F7EF8" w:rsidRDefault="002E257E" w:rsidP="00A05135">
            <w:pPr>
              <w:rPr>
                <w:rFonts w:ascii="Arial" w:hAnsi="Arial" w:cs="Arial"/>
                <w:sz w:val="20"/>
                <w:szCs w:val="20"/>
              </w:rPr>
            </w:pPr>
            <w:r w:rsidRPr="004F7EF8">
              <w:rPr>
                <w:rFonts w:ascii="Arial" w:hAnsi="Arial" w:cs="Arial"/>
                <w:sz w:val="20"/>
                <w:szCs w:val="20"/>
              </w:rPr>
              <w:t>tālrunis:64071973;</w:t>
            </w:r>
            <w:r>
              <w:rPr>
                <w:rFonts w:ascii="Arial" w:hAnsi="Arial" w:cs="Arial"/>
                <w:sz w:val="20"/>
                <w:szCs w:val="20"/>
              </w:rPr>
              <w:t xml:space="preserve"> </w:t>
            </w:r>
            <w:r w:rsidRPr="004F7EF8">
              <w:rPr>
                <w:rFonts w:ascii="Arial" w:hAnsi="Arial" w:cs="Arial"/>
                <w:sz w:val="20"/>
                <w:szCs w:val="20"/>
              </w:rPr>
              <w:t xml:space="preserve"> </w:t>
            </w:r>
            <w:r>
              <w:rPr>
                <w:rFonts w:ascii="Arial" w:hAnsi="Arial" w:cs="Arial"/>
                <w:sz w:val="20"/>
                <w:szCs w:val="20"/>
              </w:rPr>
              <w:t xml:space="preserve">64075000; </w:t>
            </w:r>
            <w:r w:rsidRPr="004F7EF8">
              <w:rPr>
                <w:rFonts w:ascii="Arial" w:hAnsi="Arial" w:cs="Arial"/>
                <w:sz w:val="20"/>
                <w:szCs w:val="20"/>
              </w:rPr>
              <w:t>fakss:64071993</w:t>
            </w:r>
            <w:r>
              <w:rPr>
                <w:rFonts w:ascii="Arial" w:hAnsi="Arial" w:cs="Arial"/>
                <w:sz w:val="20"/>
                <w:szCs w:val="20"/>
              </w:rPr>
              <w:t xml:space="preserve">; </w:t>
            </w:r>
          </w:p>
          <w:p w:rsidR="002E257E" w:rsidRDefault="002E257E" w:rsidP="00A05135">
            <w:pPr>
              <w:tabs>
                <w:tab w:val="left" w:pos="2667"/>
              </w:tabs>
              <w:rPr>
                <w:rFonts w:ascii="Arial" w:hAnsi="Arial" w:cs="Arial"/>
                <w:sz w:val="20"/>
                <w:szCs w:val="20"/>
              </w:rPr>
            </w:pPr>
            <w:r w:rsidRPr="004F7EF8">
              <w:rPr>
                <w:rFonts w:ascii="Arial" w:hAnsi="Arial" w:cs="Arial"/>
                <w:sz w:val="20"/>
                <w:szCs w:val="20"/>
              </w:rPr>
              <w:t xml:space="preserve">e-pasts: dome@salacgriva.lv    </w:t>
            </w:r>
          </w:p>
          <w:p w:rsidR="002E257E" w:rsidRDefault="002E257E" w:rsidP="00A05135">
            <w:pPr>
              <w:tabs>
                <w:tab w:val="left" w:pos="2667"/>
              </w:tabs>
              <w:rPr>
                <w:rFonts w:ascii="Arial" w:hAnsi="Arial" w:cs="Arial"/>
                <w:sz w:val="20"/>
                <w:szCs w:val="20"/>
              </w:rPr>
            </w:pPr>
            <w:r>
              <w:rPr>
                <w:rFonts w:ascii="Arial" w:hAnsi="Arial" w:cs="Arial"/>
                <w:sz w:val="20"/>
                <w:szCs w:val="20"/>
              </w:rPr>
              <w:t>Ainažu pilsētas pārvalde</w:t>
            </w:r>
          </w:p>
          <w:p w:rsidR="002E257E" w:rsidRDefault="002E257E" w:rsidP="00A05135">
            <w:pPr>
              <w:numPr>
                <w:ilvl w:val="0"/>
                <w:numId w:val="1"/>
              </w:numPr>
              <w:rPr>
                <w:rFonts w:ascii="Arial" w:hAnsi="Arial" w:cs="Arial"/>
                <w:sz w:val="20"/>
                <w:szCs w:val="20"/>
              </w:rPr>
            </w:pPr>
            <w:r>
              <w:rPr>
                <w:rFonts w:ascii="Arial" w:hAnsi="Arial" w:cs="Arial"/>
                <w:sz w:val="20"/>
                <w:szCs w:val="20"/>
              </w:rPr>
              <w:t>Parka ielā Nr.16, Ainaži, Salacgrīvas novads, LV-4035</w:t>
            </w:r>
          </w:p>
          <w:p w:rsidR="002E257E" w:rsidRDefault="002E257E" w:rsidP="00A05135">
            <w:pPr>
              <w:tabs>
                <w:tab w:val="left" w:pos="-9108"/>
              </w:tabs>
              <w:rPr>
                <w:rFonts w:ascii="Arial" w:hAnsi="Arial" w:cs="Arial"/>
                <w:sz w:val="20"/>
                <w:szCs w:val="20"/>
              </w:rPr>
            </w:pPr>
            <w:r>
              <w:rPr>
                <w:rFonts w:ascii="Arial" w:hAnsi="Arial" w:cs="Arial"/>
                <w:sz w:val="20"/>
                <w:szCs w:val="20"/>
              </w:rPr>
              <w:t xml:space="preserve">Tālrunis: 640 71310; </w:t>
            </w:r>
            <w:smartTag w:uri="schemas-tilde-lv/tildestengine" w:element="veidnes">
              <w:smartTagPr>
                <w:attr w:name="text" w:val="fakss"/>
                <w:attr w:name="baseform" w:val="fakss"/>
                <w:attr w:name="id" w:val="-1"/>
              </w:smartTagPr>
              <w:r>
                <w:rPr>
                  <w:rFonts w:ascii="Arial" w:hAnsi="Arial" w:cs="Arial"/>
                  <w:sz w:val="20"/>
                  <w:szCs w:val="20"/>
                </w:rPr>
                <w:t>fakss</w:t>
              </w:r>
            </w:smartTag>
            <w:r>
              <w:rPr>
                <w:rFonts w:ascii="Arial" w:hAnsi="Arial" w:cs="Arial"/>
                <w:sz w:val="20"/>
                <w:szCs w:val="20"/>
              </w:rPr>
              <w:t>: 640 71309</w:t>
            </w:r>
          </w:p>
          <w:p w:rsidR="002E257E" w:rsidRDefault="002E257E" w:rsidP="00A05135">
            <w:pPr>
              <w:tabs>
                <w:tab w:val="left" w:pos="-9108"/>
              </w:tabs>
              <w:rPr>
                <w:rFonts w:ascii="Arial" w:hAnsi="Arial" w:cs="Arial"/>
                <w:sz w:val="20"/>
                <w:szCs w:val="20"/>
              </w:rPr>
            </w:pPr>
            <w:r>
              <w:rPr>
                <w:rFonts w:ascii="Arial" w:hAnsi="Arial" w:cs="Arial"/>
                <w:sz w:val="20"/>
                <w:szCs w:val="20"/>
              </w:rPr>
              <w:t>e-pasts: ainazi@salacgriva.lv</w:t>
            </w:r>
          </w:p>
          <w:p w:rsidR="002E257E" w:rsidRDefault="002E257E" w:rsidP="00A05135">
            <w:pPr>
              <w:tabs>
                <w:tab w:val="left" w:pos="-9108"/>
              </w:tabs>
              <w:rPr>
                <w:rFonts w:ascii="Arial" w:hAnsi="Arial" w:cs="Arial"/>
                <w:sz w:val="20"/>
                <w:szCs w:val="20"/>
              </w:rPr>
            </w:pPr>
            <w:r>
              <w:rPr>
                <w:rFonts w:ascii="Arial" w:hAnsi="Arial" w:cs="Arial"/>
                <w:sz w:val="20"/>
                <w:szCs w:val="20"/>
              </w:rPr>
              <w:t>Liepupes pagasta pārvalde</w:t>
            </w:r>
          </w:p>
          <w:p w:rsidR="002E257E" w:rsidRDefault="002E257E" w:rsidP="00A05135">
            <w:pPr>
              <w:numPr>
                <w:ilvl w:val="0"/>
                <w:numId w:val="1"/>
              </w:numPr>
              <w:rPr>
                <w:rFonts w:ascii="Arial" w:hAnsi="Arial" w:cs="Arial"/>
                <w:sz w:val="20"/>
                <w:szCs w:val="20"/>
              </w:rPr>
            </w:pPr>
            <w:r>
              <w:rPr>
                <w:rFonts w:ascii="Arial" w:hAnsi="Arial" w:cs="Arial"/>
                <w:sz w:val="20"/>
                <w:szCs w:val="20"/>
              </w:rPr>
              <w:t>„</w:t>
            </w:r>
            <w:proofErr w:type="spellStart"/>
            <w:r>
              <w:rPr>
                <w:rFonts w:ascii="Arial" w:hAnsi="Arial" w:cs="Arial"/>
                <w:sz w:val="20"/>
                <w:szCs w:val="20"/>
              </w:rPr>
              <w:t>Mežgravās</w:t>
            </w:r>
            <w:proofErr w:type="spellEnd"/>
            <w:r>
              <w:rPr>
                <w:rFonts w:ascii="Arial" w:hAnsi="Arial" w:cs="Arial"/>
                <w:sz w:val="20"/>
                <w:szCs w:val="20"/>
              </w:rPr>
              <w:t>”, Liepupes pagasts, Salacgrīvas novads, LV-4023</w:t>
            </w:r>
          </w:p>
          <w:p w:rsidR="002E257E" w:rsidRDefault="002E257E" w:rsidP="00A05135">
            <w:pPr>
              <w:rPr>
                <w:rFonts w:ascii="Arial" w:hAnsi="Arial" w:cs="Arial"/>
                <w:sz w:val="20"/>
                <w:szCs w:val="20"/>
              </w:rPr>
            </w:pPr>
            <w:r>
              <w:rPr>
                <w:rFonts w:ascii="Arial" w:hAnsi="Arial" w:cs="Arial"/>
                <w:sz w:val="20"/>
                <w:szCs w:val="20"/>
              </w:rPr>
              <w:t xml:space="preserve">Tālrunis: 640 20142; </w:t>
            </w:r>
            <w:smartTag w:uri="schemas-tilde-lv/tildestengine" w:element="veidnes">
              <w:smartTagPr>
                <w:attr w:name="text" w:val="fakss"/>
                <w:attr w:name="baseform" w:val="fakss"/>
                <w:attr w:name="id" w:val="-1"/>
              </w:smartTagPr>
              <w:r>
                <w:rPr>
                  <w:rFonts w:ascii="Arial" w:hAnsi="Arial" w:cs="Arial"/>
                  <w:sz w:val="20"/>
                  <w:szCs w:val="20"/>
                </w:rPr>
                <w:t>fakss</w:t>
              </w:r>
            </w:smartTag>
            <w:r>
              <w:rPr>
                <w:rFonts w:ascii="Arial" w:hAnsi="Arial" w:cs="Arial"/>
                <w:sz w:val="20"/>
                <w:szCs w:val="20"/>
              </w:rPr>
              <w:t>: 640 23928</w:t>
            </w:r>
          </w:p>
          <w:p w:rsidR="002E257E" w:rsidRPr="004F7EF8" w:rsidRDefault="002E257E" w:rsidP="00A05135">
            <w:pPr>
              <w:tabs>
                <w:tab w:val="left" w:pos="2667"/>
              </w:tabs>
              <w:rPr>
                <w:rFonts w:ascii="Arial" w:hAnsi="Arial" w:cs="Arial"/>
                <w:sz w:val="20"/>
                <w:szCs w:val="20"/>
              </w:rPr>
            </w:pPr>
            <w:r>
              <w:rPr>
                <w:rFonts w:ascii="Arial" w:hAnsi="Arial" w:cs="Arial"/>
                <w:sz w:val="20"/>
                <w:szCs w:val="20"/>
              </w:rPr>
              <w:t xml:space="preserve"> e-pasts: liepupe@salacgriva.lv</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Pieņemšanas laiks:</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 xml:space="preserve">Pirmdienās: </w:t>
            </w:r>
            <w:r>
              <w:rPr>
                <w:rFonts w:ascii="Arial" w:hAnsi="Arial" w:cs="Arial"/>
                <w:sz w:val="20"/>
                <w:szCs w:val="20"/>
              </w:rPr>
              <w:t xml:space="preserve">   </w:t>
            </w:r>
            <w:r w:rsidRPr="004F7EF8">
              <w:rPr>
                <w:rFonts w:ascii="Arial" w:hAnsi="Arial" w:cs="Arial"/>
                <w:sz w:val="20"/>
                <w:szCs w:val="20"/>
              </w:rPr>
              <w:t>8:00-13: 14:00-18:00</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 xml:space="preserve">Otrdienās: </w:t>
            </w:r>
            <w:r>
              <w:rPr>
                <w:rFonts w:ascii="Arial" w:hAnsi="Arial" w:cs="Arial"/>
                <w:sz w:val="20"/>
                <w:szCs w:val="20"/>
              </w:rPr>
              <w:t xml:space="preserve">     </w:t>
            </w:r>
            <w:r w:rsidRPr="004F7EF8">
              <w:rPr>
                <w:rFonts w:ascii="Arial" w:hAnsi="Arial" w:cs="Arial"/>
                <w:sz w:val="20"/>
                <w:szCs w:val="20"/>
              </w:rPr>
              <w:t>8:00-13: 14:00-17:00</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 xml:space="preserve">Trešdienās: </w:t>
            </w:r>
            <w:r>
              <w:rPr>
                <w:rFonts w:ascii="Arial" w:hAnsi="Arial" w:cs="Arial"/>
                <w:sz w:val="20"/>
                <w:szCs w:val="20"/>
              </w:rPr>
              <w:t xml:space="preserve">   </w:t>
            </w:r>
            <w:r w:rsidRPr="004F7EF8">
              <w:rPr>
                <w:rFonts w:ascii="Arial" w:hAnsi="Arial" w:cs="Arial"/>
                <w:sz w:val="20"/>
                <w:szCs w:val="20"/>
              </w:rPr>
              <w:t>8:00-13: 14:00-17:00</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Ceturtdienās: 8:00-13: 14:00-17:00</w:t>
            </w:r>
          </w:p>
          <w:p w:rsidR="002E257E" w:rsidRPr="004F7EF8" w:rsidRDefault="002E257E" w:rsidP="00A05135">
            <w:pPr>
              <w:tabs>
                <w:tab w:val="left" w:pos="-9108"/>
              </w:tabs>
              <w:rPr>
                <w:rFonts w:ascii="Arial" w:hAnsi="Arial" w:cs="Arial"/>
                <w:sz w:val="20"/>
                <w:szCs w:val="20"/>
              </w:rPr>
            </w:pPr>
            <w:r w:rsidRPr="004F7EF8">
              <w:rPr>
                <w:rFonts w:ascii="Arial" w:hAnsi="Arial" w:cs="Arial"/>
                <w:sz w:val="20"/>
                <w:szCs w:val="20"/>
              </w:rPr>
              <w:t xml:space="preserve">Piektdienās: </w:t>
            </w:r>
            <w:r>
              <w:rPr>
                <w:rFonts w:ascii="Arial" w:hAnsi="Arial" w:cs="Arial"/>
                <w:sz w:val="20"/>
                <w:szCs w:val="20"/>
              </w:rPr>
              <w:t xml:space="preserve">  </w:t>
            </w:r>
            <w:r w:rsidRPr="004F7EF8">
              <w:rPr>
                <w:rFonts w:ascii="Arial" w:hAnsi="Arial" w:cs="Arial"/>
                <w:sz w:val="20"/>
                <w:szCs w:val="20"/>
              </w:rPr>
              <w:t>8:00-13: 14:00-16:00</w:t>
            </w:r>
          </w:p>
          <w:p w:rsidR="002E257E" w:rsidRPr="004F7EF8" w:rsidRDefault="002E257E" w:rsidP="00A05135">
            <w:pPr>
              <w:rPr>
                <w:rFonts w:ascii="Arial" w:hAnsi="Arial" w:cs="Arial"/>
                <w:sz w:val="20"/>
                <w:szCs w:val="20"/>
              </w:rPr>
            </w:pPr>
          </w:p>
        </w:tc>
      </w:tr>
      <w:tr w:rsidR="002E257E" w:rsidTr="00A05135">
        <w:tc>
          <w:tcPr>
            <w:tcW w:w="516" w:type="dxa"/>
          </w:tcPr>
          <w:p w:rsidR="002E257E" w:rsidRPr="004F7EF8" w:rsidRDefault="002E257E" w:rsidP="00A05135">
            <w:pPr>
              <w:rPr>
                <w:b/>
                <w:sz w:val="19"/>
                <w:szCs w:val="19"/>
              </w:rPr>
            </w:pPr>
            <w:r>
              <w:rPr>
                <w:b/>
                <w:sz w:val="19"/>
                <w:szCs w:val="19"/>
              </w:rPr>
              <w:t xml:space="preserve">  3. </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funkcija/uzdevums</w:t>
            </w:r>
          </w:p>
          <w:p w:rsidR="002E257E" w:rsidRPr="004F7EF8" w:rsidRDefault="002E257E" w:rsidP="00A05135">
            <w:pPr>
              <w:rPr>
                <w:rFonts w:ascii="Arial" w:hAnsi="Arial" w:cs="Arial"/>
                <w:b/>
                <w:sz w:val="20"/>
                <w:szCs w:val="20"/>
              </w:rPr>
            </w:pPr>
          </w:p>
        </w:tc>
        <w:tc>
          <w:tcPr>
            <w:tcW w:w="5580" w:type="dxa"/>
          </w:tcPr>
          <w:p w:rsidR="002E257E" w:rsidRPr="004F7EF8" w:rsidRDefault="002E257E" w:rsidP="002E257E">
            <w:pPr>
              <w:jc w:val="both"/>
              <w:rPr>
                <w:rFonts w:ascii="Arial" w:hAnsi="Arial" w:cs="Arial"/>
                <w:color w:val="000000"/>
                <w:sz w:val="20"/>
                <w:szCs w:val="20"/>
              </w:rPr>
            </w:pPr>
            <w:r>
              <w:rPr>
                <w:rFonts w:ascii="Arial" w:hAnsi="Arial" w:cs="Arial"/>
                <w:color w:val="000000"/>
                <w:sz w:val="20"/>
                <w:szCs w:val="20"/>
              </w:rPr>
              <w:t>Saskaņot alkoholisko dzērienu mazumtirdzniecības novietnes vietu Salacgrīvas novadā, apstiprināt komercdarbības veikšanas vietu, termiņu, darba laiku, izsniegt atļauju</w:t>
            </w:r>
          </w:p>
        </w:tc>
      </w:tr>
      <w:tr w:rsidR="002E257E" w:rsidTr="00A05135">
        <w:tc>
          <w:tcPr>
            <w:tcW w:w="516" w:type="dxa"/>
          </w:tcPr>
          <w:p w:rsidR="002E257E" w:rsidRPr="004F7EF8" w:rsidRDefault="002E257E" w:rsidP="00A05135">
            <w:pPr>
              <w:rPr>
                <w:b/>
                <w:sz w:val="19"/>
                <w:szCs w:val="19"/>
              </w:rPr>
            </w:pPr>
            <w:r w:rsidRPr="004F7EF8">
              <w:rPr>
                <w:b/>
                <w:sz w:val="19"/>
                <w:szCs w:val="19"/>
              </w:rPr>
              <w:t>4.</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būtības īss apraksts</w:t>
            </w:r>
          </w:p>
          <w:p w:rsidR="002E257E" w:rsidRPr="004F7EF8" w:rsidRDefault="002E257E" w:rsidP="00A05135">
            <w:pPr>
              <w:rPr>
                <w:rFonts w:ascii="Arial" w:hAnsi="Arial" w:cs="Arial"/>
                <w:b/>
                <w:sz w:val="20"/>
                <w:szCs w:val="20"/>
              </w:rPr>
            </w:pPr>
          </w:p>
        </w:tc>
        <w:tc>
          <w:tcPr>
            <w:tcW w:w="5580" w:type="dxa"/>
          </w:tcPr>
          <w:p w:rsidR="002E257E" w:rsidRPr="00B26ABB" w:rsidRDefault="002E257E" w:rsidP="00A05135">
            <w:pPr>
              <w:jc w:val="both"/>
              <w:rPr>
                <w:rFonts w:ascii="Arial" w:hAnsi="Arial" w:cs="Arial"/>
                <w:color w:val="000000"/>
                <w:sz w:val="20"/>
                <w:szCs w:val="20"/>
              </w:rPr>
            </w:pPr>
            <w:r>
              <w:rPr>
                <w:rFonts w:ascii="Arial" w:hAnsi="Arial" w:cs="Arial"/>
                <w:color w:val="000000"/>
                <w:sz w:val="20"/>
                <w:szCs w:val="20"/>
              </w:rPr>
              <w:t>Alkoholisko dzērienu mazumtirdzniecība novietnē Salacgrīvas novadā atļauta no katra kalendārā gada 1.aprīļa līdz 31.oktobrim</w:t>
            </w:r>
          </w:p>
        </w:tc>
      </w:tr>
      <w:tr w:rsidR="002E257E" w:rsidTr="00A05135">
        <w:tc>
          <w:tcPr>
            <w:tcW w:w="516" w:type="dxa"/>
          </w:tcPr>
          <w:p w:rsidR="002E257E" w:rsidRPr="004F7EF8" w:rsidRDefault="002E257E" w:rsidP="00A05135">
            <w:pPr>
              <w:rPr>
                <w:b/>
                <w:sz w:val="19"/>
                <w:szCs w:val="19"/>
              </w:rPr>
            </w:pPr>
            <w:r w:rsidRPr="004F7EF8">
              <w:rPr>
                <w:b/>
                <w:sz w:val="19"/>
                <w:szCs w:val="19"/>
              </w:rPr>
              <w:t>5.</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saņēmējs</w:t>
            </w:r>
          </w:p>
          <w:p w:rsidR="002E257E" w:rsidRPr="004F7EF8" w:rsidRDefault="002E257E" w:rsidP="00A05135">
            <w:pPr>
              <w:rPr>
                <w:rFonts w:ascii="Arial" w:hAnsi="Arial" w:cs="Arial"/>
                <w:b/>
                <w:sz w:val="20"/>
                <w:szCs w:val="20"/>
              </w:rPr>
            </w:pPr>
          </w:p>
        </w:tc>
        <w:tc>
          <w:tcPr>
            <w:tcW w:w="5580" w:type="dxa"/>
          </w:tcPr>
          <w:p w:rsidR="002E257E" w:rsidRPr="004F7EF8" w:rsidRDefault="002E257E" w:rsidP="00A05135">
            <w:pPr>
              <w:rPr>
                <w:rFonts w:ascii="Arial" w:hAnsi="Arial" w:cs="Arial"/>
                <w:sz w:val="20"/>
                <w:szCs w:val="20"/>
              </w:rPr>
            </w:pPr>
            <w:r>
              <w:rPr>
                <w:rFonts w:ascii="Arial" w:hAnsi="Arial" w:cs="Arial"/>
                <w:sz w:val="20"/>
                <w:szCs w:val="20"/>
              </w:rPr>
              <w:t xml:space="preserve">Privāto tiesību juridiska persona </w:t>
            </w:r>
          </w:p>
        </w:tc>
      </w:tr>
      <w:tr w:rsidR="002E257E" w:rsidTr="00A05135">
        <w:tc>
          <w:tcPr>
            <w:tcW w:w="516" w:type="dxa"/>
          </w:tcPr>
          <w:p w:rsidR="002E257E" w:rsidRPr="004F7EF8" w:rsidRDefault="002E257E" w:rsidP="00A05135">
            <w:pPr>
              <w:rPr>
                <w:b/>
                <w:sz w:val="19"/>
                <w:szCs w:val="19"/>
              </w:rPr>
            </w:pPr>
            <w:r w:rsidRPr="004F7EF8">
              <w:rPr>
                <w:b/>
                <w:sz w:val="19"/>
                <w:szCs w:val="19"/>
              </w:rPr>
              <w:t>6.</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 xml:space="preserve">Pakalpojuma saņēmēja apraksts </w:t>
            </w:r>
          </w:p>
        </w:tc>
        <w:tc>
          <w:tcPr>
            <w:tcW w:w="5580" w:type="dxa"/>
          </w:tcPr>
          <w:p w:rsidR="002E257E" w:rsidRPr="00B26ABB" w:rsidRDefault="002E257E" w:rsidP="00A05135">
            <w:pPr>
              <w:rPr>
                <w:rFonts w:ascii="Arial" w:hAnsi="Arial" w:cs="Arial"/>
                <w:color w:val="000000"/>
                <w:sz w:val="20"/>
                <w:szCs w:val="20"/>
              </w:rPr>
            </w:pPr>
            <w:r>
              <w:rPr>
                <w:rFonts w:ascii="Arial" w:hAnsi="Arial" w:cs="Arial"/>
                <w:color w:val="000000"/>
                <w:sz w:val="20"/>
                <w:szCs w:val="20"/>
              </w:rPr>
              <w:t>Komersants, kam jau ir izsniegta speciāla atļauja (licence) alkoholisko dzērienu mazumtirdzniecībai vai vairumtirdzniecībai</w:t>
            </w:r>
          </w:p>
        </w:tc>
      </w:tr>
      <w:tr w:rsidR="002E257E" w:rsidTr="00A05135">
        <w:tc>
          <w:tcPr>
            <w:tcW w:w="516" w:type="dxa"/>
          </w:tcPr>
          <w:p w:rsidR="002E257E" w:rsidRPr="004F7EF8" w:rsidRDefault="002E257E" w:rsidP="00A05135">
            <w:pPr>
              <w:rPr>
                <w:b/>
                <w:sz w:val="19"/>
                <w:szCs w:val="19"/>
              </w:rPr>
            </w:pPr>
            <w:r w:rsidRPr="004F7EF8">
              <w:rPr>
                <w:b/>
                <w:sz w:val="19"/>
                <w:szCs w:val="19"/>
              </w:rPr>
              <w:t>7.</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Normatīvie akti, kas reglamentē pakalpojuma sniegšanu</w:t>
            </w:r>
          </w:p>
          <w:p w:rsidR="002E257E" w:rsidRPr="004F7EF8" w:rsidRDefault="002E257E" w:rsidP="00A05135">
            <w:pPr>
              <w:rPr>
                <w:rFonts w:ascii="Arial" w:hAnsi="Arial" w:cs="Arial"/>
                <w:b/>
                <w:sz w:val="20"/>
                <w:szCs w:val="20"/>
              </w:rPr>
            </w:pPr>
          </w:p>
        </w:tc>
        <w:tc>
          <w:tcPr>
            <w:tcW w:w="5580" w:type="dxa"/>
          </w:tcPr>
          <w:p w:rsidR="002E257E" w:rsidRDefault="00091835" w:rsidP="00A05135">
            <w:pPr>
              <w:jc w:val="both"/>
              <w:rPr>
                <w:rFonts w:ascii="Tahoma" w:hAnsi="Tahoma" w:cs="Tahoma"/>
                <w:sz w:val="20"/>
                <w:szCs w:val="20"/>
              </w:rPr>
            </w:pPr>
            <w:r w:rsidRPr="00091835">
              <w:rPr>
                <w:rFonts w:ascii="Tahoma" w:hAnsi="Tahoma" w:cs="Tahoma"/>
                <w:sz w:val="20"/>
                <w:szCs w:val="20"/>
              </w:rPr>
              <w:t xml:space="preserve">Alkoholisko dzērienu aprites likums </w:t>
            </w:r>
            <w:hyperlink r:id="rId5" w:tgtFrame="_blank" w:history="1">
              <w:r w:rsidRPr="00091835">
                <w:rPr>
                  <w:rFonts w:ascii="Tahoma" w:hAnsi="Tahoma" w:cs="Tahoma"/>
                  <w:color w:val="0000FF"/>
                  <w:sz w:val="20"/>
                  <w:szCs w:val="20"/>
                  <w:u w:val="single"/>
                </w:rPr>
                <w:t>http://www.likumi.lv/doc.php?id=88009</w:t>
              </w:r>
            </w:hyperlink>
          </w:p>
          <w:p w:rsidR="001F1A1F" w:rsidRDefault="00091835" w:rsidP="00091835">
            <w:pPr>
              <w:jc w:val="both"/>
              <w:rPr>
                <w:rFonts w:ascii="Tahoma" w:hAnsi="Tahoma" w:cs="Tahoma"/>
                <w:sz w:val="20"/>
                <w:szCs w:val="20"/>
              </w:rPr>
            </w:pPr>
            <w:r>
              <w:rPr>
                <w:rFonts w:ascii="Tahoma" w:hAnsi="Tahoma" w:cs="Tahoma"/>
                <w:sz w:val="20"/>
                <w:szCs w:val="20"/>
              </w:rPr>
              <w:t>Salacgrīvas novada domes 2010.gada 19.maija saistošie noteikumi Nr.15 “Par sezonas tirdzniecību Salacgrīvas novada administratīvajā teritorijā”</w:t>
            </w:r>
            <w:r w:rsidR="001F1A1F">
              <w:rPr>
                <w:rFonts w:ascii="Tahoma" w:hAnsi="Tahoma" w:cs="Tahoma"/>
                <w:sz w:val="20"/>
                <w:szCs w:val="20"/>
              </w:rPr>
              <w:t xml:space="preserve"> </w:t>
            </w:r>
          </w:p>
          <w:bookmarkStart w:id="0" w:name="_GoBack"/>
          <w:bookmarkEnd w:id="0"/>
          <w:p w:rsidR="001F1A1F" w:rsidRDefault="001F1A1F" w:rsidP="00091835">
            <w:pPr>
              <w:jc w:val="both"/>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HYPERLINK "</w:instrText>
            </w:r>
            <w:r w:rsidRPr="001F1A1F">
              <w:rPr>
                <w:rFonts w:ascii="Tahoma" w:hAnsi="Tahoma" w:cs="Tahoma"/>
                <w:sz w:val="20"/>
                <w:szCs w:val="20"/>
              </w:rPr>
              <w:instrText>http://www.salacgriva.lv/lat/salacgrivas_novads/</w:instrText>
            </w:r>
            <w:r>
              <w:rPr>
                <w:rFonts w:ascii="Tahoma" w:hAnsi="Tahoma" w:cs="Tahoma"/>
                <w:sz w:val="20"/>
                <w:szCs w:val="20"/>
              </w:rPr>
              <w:instrText xml:space="preserve">" </w:instrText>
            </w:r>
            <w:r>
              <w:rPr>
                <w:rFonts w:ascii="Tahoma" w:hAnsi="Tahoma" w:cs="Tahoma"/>
                <w:sz w:val="20"/>
                <w:szCs w:val="20"/>
              </w:rPr>
              <w:fldChar w:fldCharType="separate"/>
            </w:r>
            <w:r w:rsidRPr="00BC5BC7">
              <w:rPr>
                <w:rStyle w:val="Hyperlink"/>
                <w:rFonts w:ascii="Tahoma" w:hAnsi="Tahoma" w:cs="Tahoma"/>
                <w:sz w:val="20"/>
                <w:szCs w:val="20"/>
              </w:rPr>
              <w:t>http://www.salacgriva.lv/lat/salacgrivas_novads/</w:t>
            </w:r>
            <w:r>
              <w:rPr>
                <w:rFonts w:ascii="Tahoma" w:hAnsi="Tahoma" w:cs="Tahoma"/>
                <w:sz w:val="20"/>
                <w:szCs w:val="20"/>
              </w:rPr>
              <w:fldChar w:fldCharType="end"/>
            </w:r>
          </w:p>
          <w:p w:rsidR="00091835" w:rsidRPr="00091835" w:rsidRDefault="001F1A1F" w:rsidP="00091835">
            <w:pPr>
              <w:jc w:val="both"/>
              <w:rPr>
                <w:rFonts w:ascii="Arial" w:hAnsi="Arial" w:cs="Arial"/>
                <w:bCs/>
                <w:color w:val="000000"/>
                <w:sz w:val="20"/>
                <w:szCs w:val="20"/>
              </w:rPr>
            </w:pPr>
            <w:r w:rsidRPr="001F1A1F">
              <w:rPr>
                <w:rFonts w:ascii="Tahoma" w:hAnsi="Tahoma" w:cs="Tahoma"/>
                <w:sz w:val="20"/>
                <w:szCs w:val="20"/>
              </w:rPr>
              <w:t>dokumenti/</w:t>
            </w:r>
            <w:proofErr w:type="spellStart"/>
            <w:r w:rsidRPr="001F1A1F">
              <w:rPr>
                <w:rFonts w:ascii="Tahoma" w:hAnsi="Tahoma" w:cs="Tahoma"/>
                <w:sz w:val="20"/>
                <w:szCs w:val="20"/>
              </w:rPr>
              <w:t>konsolidetie_noteikumi</w:t>
            </w:r>
            <w:proofErr w:type="spellEnd"/>
            <w:r w:rsidRPr="001F1A1F">
              <w:rPr>
                <w:rFonts w:ascii="Tahoma" w:hAnsi="Tahoma" w:cs="Tahoma"/>
                <w:sz w:val="20"/>
                <w:szCs w:val="20"/>
              </w:rPr>
              <w:t>/</w:t>
            </w:r>
          </w:p>
        </w:tc>
      </w:tr>
      <w:tr w:rsidR="002E257E" w:rsidTr="00A05135">
        <w:tc>
          <w:tcPr>
            <w:tcW w:w="516" w:type="dxa"/>
          </w:tcPr>
          <w:p w:rsidR="002E257E" w:rsidRPr="004F7EF8" w:rsidRDefault="002E257E" w:rsidP="00A05135">
            <w:pPr>
              <w:rPr>
                <w:b/>
                <w:sz w:val="19"/>
                <w:szCs w:val="19"/>
              </w:rPr>
            </w:pPr>
            <w:r w:rsidRPr="004F7EF8">
              <w:rPr>
                <w:b/>
                <w:sz w:val="19"/>
                <w:szCs w:val="19"/>
              </w:rPr>
              <w:t>8.</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saņemšanai nepieciešamie dokumenti</w:t>
            </w:r>
          </w:p>
          <w:p w:rsidR="002E257E" w:rsidRPr="004F7EF8" w:rsidRDefault="002E257E" w:rsidP="00A05135">
            <w:pPr>
              <w:rPr>
                <w:rFonts w:ascii="Arial" w:hAnsi="Arial" w:cs="Arial"/>
                <w:b/>
                <w:sz w:val="20"/>
                <w:szCs w:val="20"/>
              </w:rPr>
            </w:pPr>
          </w:p>
        </w:tc>
        <w:tc>
          <w:tcPr>
            <w:tcW w:w="5580" w:type="dxa"/>
          </w:tcPr>
          <w:p w:rsidR="002E257E" w:rsidRPr="00445214" w:rsidRDefault="00445214" w:rsidP="00A05135">
            <w:pPr>
              <w:jc w:val="both"/>
              <w:rPr>
                <w:rFonts w:ascii="Arial" w:hAnsi="Arial" w:cs="Arial"/>
                <w:sz w:val="20"/>
                <w:szCs w:val="20"/>
              </w:rPr>
            </w:pPr>
            <w:r w:rsidRPr="00445214">
              <w:rPr>
                <w:rFonts w:ascii="Arial" w:hAnsi="Arial" w:cs="Arial"/>
                <w:sz w:val="20"/>
                <w:szCs w:val="20"/>
              </w:rPr>
              <w:t>1) ar komersanta atbildīgās amatpersonas parakstu apstiprināts iesniegums, kurā jānorāda: 1.1. komersanta nosaukums, juridiskā adrese un kontaktpersonas tālruņa numurs; 1.2. komercdarbības veikšanas vieta (adrese), termiņš un darbalaiks; 2) komercdarbībai izmantojamās vietas lietošanas tiesību apliecinoša dokumenta kopija.</w:t>
            </w:r>
          </w:p>
        </w:tc>
      </w:tr>
      <w:tr w:rsidR="002E257E" w:rsidTr="00A05135">
        <w:tc>
          <w:tcPr>
            <w:tcW w:w="516" w:type="dxa"/>
          </w:tcPr>
          <w:p w:rsidR="002E257E" w:rsidRPr="004F7EF8" w:rsidRDefault="002E257E" w:rsidP="00A05135">
            <w:pPr>
              <w:rPr>
                <w:b/>
                <w:sz w:val="19"/>
                <w:szCs w:val="19"/>
              </w:rPr>
            </w:pPr>
            <w:r w:rsidRPr="004F7EF8">
              <w:rPr>
                <w:b/>
                <w:sz w:val="19"/>
                <w:szCs w:val="19"/>
              </w:rPr>
              <w:t>9.</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pieprasīšanai nepieciešamās veidlapas</w:t>
            </w:r>
          </w:p>
          <w:p w:rsidR="002E257E" w:rsidRPr="004F7EF8" w:rsidRDefault="002E257E" w:rsidP="00A05135">
            <w:pPr>
              <w:rPr>
                <w:rFonts w:ascii="Arial" w:hAnsi="Arial" w:cs="Arial"/>
                <w:b/>
                <w:sz w:val="20"/>
                <w:szCs w:val="20"/>
              </w:rPr>
            </w:pPr>
          </w:p>
        </w:tc>
        <w:tc>
          <w:tcPr>
            <w:tcW w:w="5580" w:type="dxa"/>
          </w:tcPr>
          <w:p w:rsidR="002E257E" w:rsidRPr="004F7EF8" w:rsidRDefault="002E257E" w:rsidP="00A05135">
            <w:pPr>
              <w:rPr>
                <w:rFonts w:ascii="Arial" w:hAnsi="Arial" w:cs="Arial"/>
                <w:sz w:val="20"/>
                <w:szCs w:val="20"/>
              </w:rPr>
            </w:pPr>
            <w:r>
              <w:rPr>
                <w:rFonts w:ascii="Arial" w:hAnsi="Arial" w:cs="Arial"/>
                <w:sz w:val="20"/>
                <w:szCs w:val="20"/>
              </w:rPr>
              <w:t>Veidlapa</w:t>
            </w:r>
            <w:r w:rsidR="00445214">
              <w:rPr>
                <w:rFonts w:ascii="Arial" w:hAnsi="Arial" w:cs="Arial"/>
                <w:sz w:val="20"/>
                <w:szCs w:val="20"/>
              </w:rPr>
              <w:t xml:space="preserve"> sezonas tirdzniecības atļaujai</w:t>
            </w:r>
          </w:p>
        </w:tc>
      </w:tr>
      <w:tr w:rsidR="002E257E" w:rsidTr="00A05135">
        <w:tc>
          <w:tcPr>
            <w:tcW w:w="516" w:type="dxa"/>
          </w:tcPr>
          <w:p w:rsidR="002E257E" w:rsidRPr="004F7EF8" w:rsidRDefault="002E257E" w:rsidP="00A05135">
            <w:pPr>
              <w:rPr>
                <w:b/>
                <w:sz w:val="19"/>
                <w:szCs w:val="19"/>
              </w:rPr>
            </w:pPr>
            <w:r w:rsidRPr="004F7EF8">
              <w:rPr>
                <w:b/>
                <w:sz w:val="19"/>
                <w:szCs w:val="19"/>
              </w:rPr>
              <w:t>10.</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saņemšanas termiņš (darba dienās)</w:t>
            </w:r>
          </w:p>
          <w:p w:rsidR="002E257E" w:rsidRPr="004F7EF8" w:rsidRDefault="002E257E" w:rsidP="00A05135">
            <w:pPr>
              <w:rPr>
                <w:rFonts w:ascii="Arial" w:hAnsi="Arial" w:cs="Arial"/>
                <w:b/>
                <w:sz w:val="20"/>
                <w:szCs w:val="20"/>
              </w:rPr>
            </w:pPr>
          </w:p>
        </w:tc>
        <w:tc>
          <w:tcPr>
            <w:tcW w:w="5580" w:type="dxa"/>
          </w:tcPr>
          <w:p w:rsidR="002E257E" w:rsidRPr="004F7EF8" w:rsidRDefault="00091835" w:rsidP="00A05135">
            <w:pPr>
              <w:rPr>
                <w:rFonts w:ascii="Arial" w:hAnsi="Arial" w:cs="Arial"/>
                <w:sz w:val="20"/>
                <w:szCs w:val="20"/>
              </w:rPr>
            </w:pPr>
            <w:r>
              <w:rPr>
                <w:rFonts w:ascii="Arial" w:hAnsi="Arial" w:cs="Arial"/>
                <w:sz w:val="20"/>
                <w:szCs w:val="20"/>
              </w:rPr>
              <w:t>5</w:t>
            </w:r>
          </w:p>
        </w:tc>
      </w:tr>
      <w:tr w:rsidR="002E257E" w:rsidTr="00A05135">
        <w:tc>
          <w:tcPr>
            <w:tcW w:w="516" w:type="dxa"/>
          </w:tcPr>
          <w:p w:rsidR="002E257E" w:rsidRPr="004F7EF8" w:rsidRDefault="002E257E" w:rsidP="00A05135">
            <w:pPr>
              <w:rPr>
                <w:b/>
                <w:sz w:val="19"/>
                <w:szCs w:val="19"/>
              </w:rPr>
            </w:pPr>
            <w:r w:rsidRPr="004F7EF8">
              <w:rPr>
                <w:b/>
                <w:sz w:val="19"/>
                <w:szCs w:val="19"/>
              </w:rPr>
              <w:t>11.</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Ar pakalpojuma saņemšanu saistītie maksājumi</w:t>
            </w:r>
          </w:p>
          <w:p w:rsidR="002E257E" w:rsidRPr="004F7EF8" w:rsidRDefault="002E257E" w:rsidP="00A05135">
            <w:pPr>
              <w:rPr>
                <w:rFonts w:ascii="Arial" w:hAnsi="Arial" w:cs="Arial"/>
                <w:b/>
                <w:sz w:val="20"/>
                <w:szCs w:val="20"/>
              </w:rPr>
            </w:pPr>
          </w:p>
        </w:tc>
        <w:tc>
          <w:tcPr>
            <w:tcW w:w="5580" w:type="dxa"/>
          </w:tcPr>
          <w:p w:rsidR="00445214" w:rsidRPr="00445214" w:rsidRDefault="00445214" w:rsidP="00A05135">
            <w:pPr>
              <w:jc w:val="both"/>
              <w:rPr>
                <w:rFonts w:ascii="Arial" w:hAnsi="Arial" w:cs="Arial"/>
                <w:b/>
                <w:sz w:val="20"/>
                <w:szCs w:val="20"/>
              </w:rPr>
            </w:pPr>
            <w:r w:rsidRPr="00445214">
              <w:rPr>
                <w:rFonts w:ascii="Arial" w:hAnsi="Arial" w:cs="Arial"/>
                <w:b/>
                <w:sz w:val="20"/>
                <w:szCs w:val="20"/>
              </w:rPr>
              <w:t>EUR 28,46</w:t>
            </w:r>
          </w:p>
          <w:p w:rsidR="002E257E" w:rsidRPr="004F7EF8" w:rsidRDefault="002E257E" w:rsidP="00A05135">
            <w:pPr>
              <w:jc w:val="both"/>
              <w:rPr>
                <w:rFonts w:ascii="Arial" w:hAnsi="Arial" w:cs="Arial"/>
                <w:sz w:val="20"/>
                <w:szCs w:val="20"/>
              </w:rPr>
            </w:pPr>
            <w:r>
              <w:rPr>
                <w:rFonts w:ascii="Arial" w:hAnsi="Arial" w:cs="Arial"/>
                <w:sz w:val="20"/>
                <w:szCs w:val="20"/>
              </w:rPr>
              <w:t>I</w:t>
            </w:r>
            <w:r w:rsidRPr="004F7EF8">
              <w:rPr>
                <w:rFonts w:ascii="Arial" w:hAnsi="Arial" w:cs="Arial"/>
                <w:sz w:val="20"/>
                <w:szCs w:val="20"/>
              </w:rPr>
              <w:t>espējama samaksa uz vietas skaidrā naudā pret kvīti</w:t>
            </w:r>
            <w:r>
              <w:rPr>
                <w:rFonts w:ascii="Arial" w:hAnsi="Arial" w:cs="Arial"/>
                <w:sz w:val="20"/>
                <w:szCs w:val="20"/>
              </w:rPr>
              <w:t>, maksājot ar bankas karti vai iemaksājot Salacgrīvas novada domes kontā norādot cik un par ko.</w:t>
            </w:r>
          </w:p>
          <w:p w:rsidR="002E257E" w:rsidRPr="004F7EF8" w:rsidRDefault="002E257E" w:rsidP="00A05135">
            <w:pPr>
              <w:rPr>
                <w:rFonts w:ascii="Arial" w:hAnsi="Arial" w:cs="Arial"/>
                <w:sz w:val="20"/>
                <w:szCs w:val="20"/>
              </w:rPr>
            </w:pPr>
            <w:r w:rsidRPr="004F7EF8">
              <w:rPr>
                <w:rFonts w:ascii="Arial" w:hAnsi="Arial" w:cs="Arial"/>
                <w:sz w:val="20"/>
                <w:szCs w:val="20"/>
              </w:rPr>
              <w:t>Smilšu iela 9, Salacgrīva, Salacgrīvas novads, LV-4033</w:t>
            </w:r>
          </w:p>
          <w:p w:rsidR="002E257E" w:rsidRPr="004F7EF8" w:rsidRDefault="002E257E" w:rsidP="00A05135">
            <w:pPr>
              <w:rPr>
                <w:rFonts w:ascii="Arial" w:hAnsi="Arial" w:cs="Arial"/>
                <w:sz w:val="20"/>
                <w:szCs w:val="20"/>
              </w:rPr>
            </w:pPr>
            <w:r w:rsidRPr="004F7EF8">
              <w:rPr>
                <w:rFonts w:ascii="Arial" w:hAnsi="Arial" w:cs="Arial"/>
                <w:sz w:val="20"/>
                <w:szCs w:val="20"/>
              </w:rPr>
              <w:t xml:space="preserve">PVN </w:t>
            </w:r>
            <w:proofErr w:type="spellStart"/>
            <w:r w:rsidRPr="004F7EF8">
              <w:rPr>
                <w:rFonts w:ascii="Arial" w:hAnsi="Arial" w:cs="Arial"/>
                <w:sz w:val="20"/>
                <w:szCs w:val="20"/>
              </w:rPr>
              <w:t>reģ</w:t>
            </w:r>
            <w:proofErr w:type="spellEnd"/>
            <w:r w:rsidRPr="004F7EF8">
              <w:rPr>
                <w:rFonts w:ascii="Arial" w:hAnsi="Arial" w:cs="Arial"/>
                <w:sz w:val="20"/>
                <w:szCs w:val="20"/>
              </w:rPr>
              <w:t>. Nr. LV 90000059796</w:t>
            </w:r>
          </w:p>
          <w:p w:rsidR="002E257E" w:rsidRPr="004F7EF8" w:rsidRDefault="002E257E" w:rsidP="00A05135">
            <w:pPr>
              <w:ind w:right="-3600"/>
              <w:rPr>
                <w:rFonts w:ascii="Arial" w:hAnsi="Arial" w:cs="Arial"/>
                <w:sz w:val="20"/>
                <w:szCs w:val="20"/>
              </w:rPr>
            </w:pPr>
            <w:r w:rsidRPr="004F7EF8">
              <w:rPr>
                <w:rFonts w:ascii="Arial" w:hAnsi="Arial" w:cs="Arial"/>
                <w:b/>
                <w:sz w:val="20"/>
                <w:szCs w:val="20"/>
              </w:rPr>
              <w:t>A/s „</w:t>
            </w:r>
            <w:proofErr w:type="spellStart"/>
            <w:r w:rsidRPr="004F7EF8">
              <w:rPr>
                <w:rFonts w:ascii="Arial" w:hAnsi="Arial" w:cs="Arial"/>
                <w:b/>
                <w:sz w:val="20"/>
                <w:szCs w:val="20"/>
              </w:rPr>
              <w:t>DnB</w:t>
            </w:r>
            <w:proofErr w:type="spellEnd"/>
            <w:r w:rsidRPr="004F7EF8">
              <w:rPr>
                <w:rFonts w:ascii="Arial" w:hAnsi="Arial" w:cs="Arial"/>
                <w:b/>
                <w:sz w:val="20"/>
                <w:szCs w:val="20"/>
              </w:rPr>
              <w:t xml:space="preserve"> NORD Banka”, </w:t>
            </w:r>
            <w:r w:rsidRPr="004F7EF8">
              <w:rPr>
                <w:rFonts w:ascii="Arial" w:hAnsi="Arial" w:cs="Arial"/>
                <w:sz w:val="20"/>
                <w:szCs w:val="20"/>
              </w:rPr>
              <w:t>kods RIKOLV2X</w:t>
            </w:r>
          </w:p>
          <w:p w:rsidR="002E257E" w:rsidRPr="004F7EF8" w:rsidRDefault="002E257E" w:rsidP="00A05135">
            <w:pPr>
              <w:ind w:right="-3780"/>
              <w:rPr>
                <w:rFonts w:ascii="Arial" w:hAnsi="Arial" w:cs="Arial"/>
                <w:b/>
                <w:sz w:val="20"/>
                <w:szCs w:val="20"/>
              </w:rPr>
            </w:pPr>
            <w:r w:rsidRPr="004F7EF8">
              <w:rPr>
                <w:rFonts w:ascii="Arial" w:hAnsi="Arial" w:cs="Arial"/>
                <w:sz w:val="20"/>
                <w:szCs w:val="20"/>
              </w:rPr>
              <w:t>konts LV77RIKO0002013118289;</w:t>
            </w:r>
          </w:p>
          <w:p w:rsidR="002E257E" w:rsidRPr="004F7EF8" w:rsidRDefault="002E257E" w:rsidP="00A05135">
            <w:pPr>
              <w:rPr>
                <w:rFonts w:ascii="Arial" w:hAnsi="Arial" w:cs="Arial"/>
                <w:sz w:val="20"/>
                <w:szCs w:val="20"/>
              </w:rPr>
            </w:pPr>
            <w:r w:rsidRPr="004F7EF8">
              <w:rPr>
                <w:rFonts w:ascii="Arial" w:hAnsi="Arial" w:cs="Arial"/>
                <w:b/>
                <w:sz w:val="20"/>
                <w:szCs w:val="20"/>
              </w:rPr>
              <w:lastRenderedPageBreak/>
              <w:t xml:space="preserve">A/s „SEB banka”, </w:t>
            </w:r>
            <w:r w:rsidRPr="004F7EF8">
              <w:rPr>
                <w:rFonts w:ascii="Arial" w:hAnsi="Arial" w:cs="Arial"/>
                <w:sz w:val="20"/>
                <w:szCs w:val="20"/>
              </w:rPr>
              <w:t>kods UNLALV2X</w:t>
            </w:r>
          </w:p>
          <w:p w:rsidR="002E257E" w:rsidRPr="004F7EF8" w:rsidRDefault="002E257E" w:rsidP="00A05135">
            <w:pPr>
              <w:rPr>
                <w:rFonts w:ascii="Arial" w:hAnsi="Arial" w:cs="Arial"/>
                <w:sz w:val="20"/>
                <w:szCs w:val="20"/>
              </w:rPr>
            </w:pPr>
            <w:r w:rsidRPr="004F7EF8">
              <w:rPr>
                <w:rFonts w:ascii="Arial" w:hAnsi="Arial" w:cs="Arial"/>
                <w:sz w:val="20"/>
                <w:szCs w:val="20"/>
              </w:rPr>
              <w:t>konts LV71 UNLA0013013130848;</w:t>
            </w:r>
          </w:p>
          <w:p w:rsidR="002E257E" w:rsidRPr="004F7EF8" w:rsidRDefault="002E257E" w:rsidP="00A05135">
            <w:pPr>
              <w:rPr>
                <w:rFonts w:ascii="Arial" w:hAnsi="Arial" w:cs="Arial"/>
                <w:sz w:val="20"/>
                <w:szCs w:val="20"/>
              </w:rPr>
            </w:pPr>
            <w:r w:rsidRPr="004F7EF8">
              <w:rPr>
                <w:rFonts w:ascii="Arial" w:hAnsi="Arial" w:cs="Arial"/>
                <w:b/>
                <w:sz w:val="20"/>
                <w:szCs w:val="20"/>
              </w:rPr>
              <w:t xml:space="preserve">A/s „Citadele banka”, </w:t>
            </w:r>
            <w:r w:rsidRPr="004F7EF8">
              <w:rPr>
                <w:rFonts w:ascii="Arial" w:hAnsi="Arial" w:cs="Arial"/>
                <w:sz w:val="20"/>
                <w:szCs w:val="20"/>
              </w:rPr>
              <w:t>kods PARXLV22,</w:t>
            </w:r>
          </w:p>
          <w:p w:rsidR="002E257E" w:rsidRPr="004F7EF8" w:rsidRDefault="002E257E" w:rsidP="00A05135">
            <w:pPr>
              <w:rPr>
                <w:rFonts w:ascii="Arial" w:hAnsi="Arial" w:cs="Arial"/>
                <w:sz w:val="20"/>
                <w:szCs w:val="20"/>
              </w:rPr>
            </w:pPr>
            <w:r w:rsidRPr="004F7EF8">
              <w:rPr>
                <w:rFonts w:ascii="Arial" w:hAnsi="Arial" w:cs="Arial"/>
                <w:sz w:val="20"/>
                <w:szCs w:val="20"/>
              </w:rPr>
              <w:t>konts LV10PARX0002241210033;</w:t>
            </w:r>
          </w:p>
        </w:tc>
      </w:tr>
      <w:tr w:rsidR="002E257E" w:rsidTr="00A05135">
        <w:tc>
          <w:tcPr>
            <w:tcW w:w="516" w:type="dxa"/>
          </w:tcPr>
          <w:p w:rsidR="002E257E" w:rsidRPr="004F7EF8" w:rsidRDefault="002E257E" w:rsidP="00A05135">
            <w:pPr>
              <w:rPr>
                <w:b/>
                <w:sz w:val="19"/>
                <w:szCs w:val="19"/>
              </w:rPr>
            </w:pPr>
            <w:r w:rsidRPr="004F7EF8">
              <w:rPr>
                <w:b/>
                <w:sz w:val="19"/>
                <w:szCs w:val="19"/>
              </w:rPr>
              <w:lastRenderedPageBreak/>
              <w:t>12.</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Piezīmes (par pakalpojuma saņemšanas termiņu un maksājumiem, kuri saistīti ar termiņu)</w:t>
            </w:r>
          </w:p>
          <w:p w:rsidR="002E257E" w:rsidRPr="004F7EF8" w:rsidRDefault="002E257E" w:rsidP="00A05135">
            <w:pPr>
              <w:rPr>
                <w:rFonts w:ascii="Arial" w:hAnsi="Arial" w:cs="Arial"/>
                <w:b/>
                <w:sz w:val="20"/>
                <w:szCs w:val="20"/>
              </w:rPr>
            </w:pPr>
          </w:p>
        </w:tc>
        <w:tc>
          <w:tcPr>
            <w:tcW w:w="5580" w:type="dxa"/>
          </w:tcPr>
          <w:p w:rsidR="002E257E" w:rsidRPr="004F7EF8" w:rsidRDefault="002E257E" w:rsidP="00A05135">
            <w:pPr>
              <w:jc w:val="both"/>
              <w:rPr>
                <w:rFonts w:ascii="Arial" w:hAnsi="Arial" w:cs="Arial"/>
                <w:sz w:val="20"/>
                <w:szCs w:val="20"/>
              </w:rPr>
            </w:pPr>
            <w:r>
              <w:rPr>
                <w:rFonts w:ascii="Arial" w:hAnsi="Arial" w:cs="Arial"/>
                <w:sz w:val="20"/>
                <w:szCs w:val="20"/>
              </w:rPr>
              <w:t>Pakalpojuma saņēmējs veic samaksu par pakalpojuma saņemšanu saskaņā ar Salacgrīvas novada domes 20.11.2013. Saistošajiem noteikumiem Nr.32 „Par Salacgrīvas novada pašvaldības nodevām”</w:t>
            </w:r>
          </w:p>
        </w:tc>
      </w:tr>
      <w:tr w:rsidR="002E257E" w:rsidTr="00A05135">
        <w:tc>
          <w:tcPr>
            <w:tcW w:w="516" w:type="dxa"/>
          </w:tcPr>
          <w:p w:rsidR="002E257E" w:rsidRPr="004F7EF8" w:rsidRDefault="002E257E" w:rsidP="00A05135">
            <w:pPr>
              <w:rPr>
                <w:b/>
                <w:sz w:val="19"/>
                <w:szCs w:val="19"/>
              </w:rPr>
            </w:pPr>
            <w:r w:rsidRPr="004F7EF8">
              <w:rPr>
                <w:b/>
                <w:sz w:val="19"/>
                <w:szCs w:val="19"/>
              </w:rPr>
              <w:t>13.</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Administratīvais process</w:t>
            </w:r>
          </w:p>
          <w:p w:rsidR="002E257E" w:rsidRPr="004F7EF8" w:rsidRDefault="002E257E" w:rsidP="00A05135">
            <w:pPr>
              <w:rPr>
                <w:rFonts w:ascii="Arial" w:hAnsi="Arial" w:cs="Arial"/>
                <w:b/>
                <w:sz w:val="20"/>
                <w:szCs w:val="20"/>
              </w:rPr>
            </w:pPr>
          </w:p>
        </w:tc>
        <w:tc>
          <w:tcPr>
            <w:tcW w:w="5580" w:type="dxa"/>
          </w:tcPr>
          <w:p w:rsidR="002E257E" w:rsidRPr="004F7EF8" w:rsidRDefault="002E257E" w:rsidP="00A05135">
            <w:pPr>
              <w:rPr>
                <w:rFonts w:ascii="Arial" w:hAnsi="Arial" w:cs="Arial"/>
                <w:sz w:val="20"/>
                <w:szCs w:val="20"/>
              </w:rPr>
            </w:pPr>
            <w:r w:rsidRPr="004F7EF8">
              <w:rPr>
                <w:rFonts w:ascii="Arial" w:hAnsi="Arial" w:cs="Arial"/>
                <w:sz w:val="20"/>
                <w:szCs w:val="20"/>
              </w:rPr>
              <w:t xml:space="preserve">Ir </w:t>
            </w:r>
          </w:p>
        </w:tc>
      </w:tr>
      <w:tr w:rsidR="002E257E" w:rsidTr="00A05135">
        <w:tc>
          <w:tcPr>
            <w:tcW w:w="516" w:type="dxa"/>
          </w:tcPr>
          <w:p w:rsidR="002E257E" w:rsidRPr="004F7EF8" w:rsidRDefault="002E257E" w:rsidP="00A05135">
            <w:pPr>
              <w:rPr>
                <w:b/>
                <w:sz w:val="19"/>
                <w:szCs w:val="19"/>
              </w:rPr>
            </w:pPr>
            <w:r w:rsidRPr="004F7EF8">
              <w:rPr>
                <w:b/>
                <w:sz w:val="19"/>
                <w:szCs w:val="19"/>
              </w:rPr>
              <w:t>14.</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Pārsūdzības iespējas</w:t>
            </w:r>
          </w:p>
          <w:p w:rsidR="002E257E" w:rsidRPr="004F7EF8" w:rsidRDefault="002E257E" w:rsidP="00A05135">
            <w:pPr>
              <w:rPr>
                <w:rFonts w:ascii="Arial" w:hAnsi="Arial" w:cs="Arial"/>
                <w:b/>
                <w:sz w:val="20"/>
                <w:szCs w:val="20"/>
              </w:rPr>
            </w:pPr>
          </w:p>
        </w:tc>
        <w:tc>
          <w:tcPr>
            <w:tcW w:w="5580" w:type="dxa"/>
          </w:tcPr>
          <w:p w:rsidR="002E257E" w:rsidRPr="004F7EF8" w:rsidRDefault="002E257E" w:rsidP="00445214">
            <w:pPr>
              <w:jc w:val="both"/>
              <w:rPr>
                <w:rFonts w:ascii="Arial" w:hAnsi="Arial" w:cs="Arial"/>
                <w:sz w:val="20"/>
                <w:szCs w:val="20"/>
              </w:rPr>
            </w:pPr>
            <w:r>
              <w:rPr>
                <w:rFonts w:ascii="Arial" w:hAnsi="Arial" w:cs="Arial"/>
                <w:sz w:val="20"/>
                <w:szCs w:val="20"/>
              </w:rPr>
              <w:t>Ja</w:t>
            </w:r>
            <w:r w:rsidR="00445214">
              <w:rPr>
                <w:rFonts w:ascii="Arial" w:hAnsi="Arial" w:cs="Arial"/>
                <w:sz w:val="20"/>
                <w:szCs w:val="20"/>
              </w:rPr>
              <w:t xml:space="preserve"> sezonas tirdzniecības </w:t>
            </w:r>
            <w:r>
              <w:rPr>
                <w:rFonts w:ascii="Arial" w:hAnsi="Arial" w:cs="Arial"/>
                <w:sz w:val="20"/>
                <w:szCs w:val="20"/>
              </w:rPr>
              <w:t xml:space="preserve">atļauja </w:t>
            </w:r>
            <w:r w:rsidR="00445214">
              <w:rPr>
                <w:rFonts w:ascii="Arial" w:hAnsi="Arial" w:cs="Arial"/>
                <w:sz w:val="20"/>
                <w:szCs w:val="20"/>
              </w:rPr>
              <w:t xml:space="preserve">alkoholisko dzērienu mazumtirdzniecībai novietnē netiek </w:t>
            </w:r>
            <w:r>
              <w:rPr>
                <w:rFonts w:ascii="Arial" w:hAnsi="Arial" w:cs="Arial"/>
                <w:sz w:val="20"/>
                <w:szCs w:val="20"/>
              </w:rPr>
              <w:t xml:space="preserve">sniegta, </w:t>
            </w:r>
            <w:r w:rsidR="00445214">
              <w:rPr>
                <w:rFonts w:ascii="Arial" w:hAnsi="Arial" w:cs="Arial"/>
                <w:sz w:val="20"/>
                <w:szCs w:val="20"/>
              </w:rPr>
              <w:t>komersants</w:t>
            </w:r>
            <w:r>
              <w:rPr>
                <w:rFonts w:ascii="Arial" w:hAnsi="Arial" w:cs="Arial"/>
                <w:sz w:val="20"/>
                <w:szCs w:val="20"/>
              </w:rPr>
              <w:t xml:space="preserve"> izpilddirektora lēmumu var pārsūdzēt Salacgrīvas novada domē Administratīvā procesa likumā noteiktajā kārtībā</w:t>
            </w:r>
          </w:p>
        </w:tc>
      </w:tr>
      <w:tr w:rsidR="002E257E" w:rsidTr="00A05135">
        <w:tc>
          <w:tcPr>
            <w:tcW w:w="516" w:type="dxa"/>
          </w:tcPr>
          <w:p w:rsidR="002E257E" w:rsidRPr="004F7EF8" w:rsidRDefault="002E257E" w:rsidP="00A05135">
            <w:pPr>
              <w:rPr>
                <w:b/>
                <w:sz w:val="19"/>
                <w:szCs w:val="19"/>
              </w:rPr>
            </w:pPr>
            <w:r w:rsidRPr="004F7EF8">
              <w:rPr>
                <w:b/>
                <w:sz w:val="19"/>
                <w:szCs w:val="19"/>
              </w:rPr>
              <w:t>15.</w:t>
            </w:r>
          </w:p>
        </w:tc>
        <w:tc>
          <w:tcPr>
            <w:tcW w:w="4164" w:type="dxa"/>
          </w:tcPr>
          <w:p w:rsidR="002E257E" w:rsidRPr="004F7EF8" w:rsidRDefault="002E257E" w:rsidP="00A05135">
            <w:pPr>
              <w:rPr>
                <w:rFonts w:ascii="Arial" w:hAnsi="Arial" w:cs="Arial"/>
                <w:b/>
                <w:sz w:val="20"/>
                <w:szCs w:val="20"/>
              </w:rPr>
            </w:pPr>
            <w:smartTag w:uri="schemas-tilde-lv/tildestengine" w:element="veidnes">
              <w:smartTagPr>
                <w:attr w:name="text" w:val="atgādinājums"/>
                <w:attr w:name="baseform" w:val="atgādinājums"/>
                <w:attr w:name="id" w:val="-1"/>
              </w:smartTagPr>
              <w:r w:rsidRPr="004F7EF8">
                <w:rPr>
                  <w:rFonts w:ascii="Arial" w:hAnsi="Arial" w:cs="Arial"/>
                  <w:b/>
                  <w:sz w:val="20"/>
                  <w:szCs w:val="20"/>
                </w:rPr>
                <w:t>Atgādinājums</w:t>
              </w:r>
            </w:smartTag>
          </w:p>
          <w:p w:rsidR="002E257E" w:rsidRPr="004F7EF8" w:rsidRDefault="002E257E" w:rsidP="00A05135">
            <w:pPr>
              <w:rPr>
                <w:rFonts w:ascii="Arial" w:hAnsi="Arial" w:cs="Arial"/>
                <w:b/>
                <w:sz w:val="20"/>
                <w:szCs w:val="20"/>
              </w:rPr>
            </w:pPr>
          </w:p>
        </w:tc>
        <w:tc>
          <w:tcPr>
            <w:tcW w:w="5580" w:type="dxa"/>
          </w:tcPr>
          <w:p w:rsidR="002E257E" w:rsidRPr="00445214" w:rsidRDefault="00445214" w:rsidP="00A05135">
            <w:pPr>
              <w:jc w:val="both"/>
              <w:rPr>
                <w:rFonts w:ascii="Arial" w:hAnsi="Arial" w:cs="Arial"/>
                <w:color w:val="000000"/>
                <w:sz w:val="20"/>
                <w:szCs w:val="20"/>
              </w:rPr>
            </w:pPr>
            <w:r w:rsidRPr="00445214">
              <w:rPr>
                <w:rFonts w:ascii="Arial" w:hAnsi="Arial" w:cs="Arial"/>
                <w:sz w:val="20"/>
                <w:szCs w:val="20"/>
              </w:rPr>
              <w:t>Saskaņā ar alkoholisko dzērienu aprites likuma 3.panta pirmo daļu, alkoholisko dzērienu mazumtirdzniecībai nepieciešams saņemt atļauju (licenci). Līdz ar to, pēc saskaņojuma alkoholisko dzērienu mazumtirdzniecībai saņemšanas, jāvēršas Valsts ieņēmumu dienesta Akcīzes preču pārvaldē, atļaujas (licences) alkoholisko dzērienu mazumtirdzniecībai saņemšanai.</w:t>
            </w:r>
          </w:p>
        </w:tc>
      </w:tr>
      <w:tr w:rsidR="002E257E" w:rsidTr="00A05135">
        <w:tc>
          <w:tcPr>
            <w:tcW w:w="516" w:type="dxa"/>
          </w:tcPr>
          <w:p w:rsidR="002E257E" w:rsidRPr="004F7EF8" w:rsidRDefault="002E257E" w:rsidP="00A05135">
            <w:pPr>
              <w:rPr>
                <w:b/>
                <w:sz w:val="19"/>
                <w:szCs w:val="19"/>
              </w:rPr>
            </w:pPr>
            <w:r w:rsidRPr="004F7EF8">
              <w:rPr>
                <w:b/>
                <w:sz w:val="19"/>
                <w:szCs w:val="19"/>
              </w:rPr>
              <w:t>16.</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Brīdinājums</w:t>
            </w:r>
          </w:p>
          <w:p w:rsidR="002E257E" w:rsidRPr="004F7EF8" w:rsidRDefault="002E257E" w:rsidP="00A05135">
            <w:pPr>
              <w:rPr>
                <w:rFonts w:ascii="Arial" w:hAnsi="Arial" w:cs="Arial"/>
                <w:b/>
                <w:sz w:val="20"/>
                <w:szCs w:val="20"/>
              </w:rPr>
            </w:pPr>
          </w:p>
        </w:tc>
        <w:tc>
          <w:tcPr>
            <w:tcW w:w="5580" w:type="dxa"/>
          </w:tcPr>
          <w:p w:rsidR="00445214" w:rsidRDefault="00445214" w:rsidP="00A05135">
            <w:pPr>
              <w:jc w:val="both"/>
              <w:rPr>
                <w:rFonts w:ascii="Arial" w:hAnsi="Arial" w:cs="Arial"/>
                <w:sz w:val="20"/>
                <w:szCs w:val="20"/>
              </w:rPr>
            </w:pPr>
            <w:r w:rsidRPr="00445214">
              <w:rPr>
                <w:rFonts w:ascii="Arial" w:hAnsi="Arial" w:cs="Arial"/>
                <w:sz w:val="20"/>
                <w:szCs w:val="20"/>
              </w:rPr>
              <w:t xml:space="preserve">Pašvaldība ir tiesīga neizsniegt saskaņojumu, ja: </w:t>
            </w:r>
          </w:p>
          <w:p w:rsidR="002E257E" w:rsidRPr="00445214" w:rsidRDefault="00445214" w:rsidP="00A05135">
            <w:pPr>
              <w:jc w:val="both"/>
              <w:rPr>
                <w:rFonts w:ascii="Arial" w:hAnsi="Arial" w:cs="Arial"/>
                <w:color w:val="000000"/>
                <w:sz w:val="20"/>
                <w:szCs w:val="20"/>
              </w:rPr>
            </w:pPr>
            <w:r w:rsidRPr="00445214">
              <w:rPr>
                <w:rFonts w:ascii="Arial" w:hAnsi="Arial" w:cs="Arial"/>
                <w:sz w:val="20"/>
                <w:szCs w:val="20"/>
              </w:rPr>
              <w:t xml:space="preserve">1. komersants nav iesniedzis visus pakalpojuma saņemšanai nepieciešamos dokumentus; 2. komersants saskaņojuma saņemšanai sniedzis nepatiesas ziņas; 3. komercdarbību plānots uzsākt vietā, kas neatbilst tās izmantošanas mērķim; 4. alkoholisko dzērienu mazumtirdzniecība no novietnes būtiski apdraud sabiedrisko kārtību un citu personu tiesību aizsardzību. Pašvaldība ir tiesīga atcelt saskaņojumu, ja: 1. komersants saskaņojuma saņemšanai sniedzis nepatiesas ziņas; 2. izbeigta attiecīgā komercdarbība saskaņojumā norādītajā vietā; 3. alkoholisko dzērienu mazumtirdzniecība no novietnes būtiski apdraud sabiedrisko kārtību un citu personu tiesību aizsardzību. </w:t>
            </w:r>
            <w:r w:rsidRPr="00445214">
              <w:rPr>
                <w:rFonts w:ascii="Arial" w:hAnsi="Arial" w:cs="Arial"/>
                <w:sz w:val="20"/>
                <w:szCs w:val="20"/>
              </w:rPr>
              <w:br/>
              <w:t>Saskaņojums alkoholisko dzērienu mazumtirdzniecībai nedod tiesības veikt alkoholisko dzērienu mazumtirdzniecību bez atļaujas (licences) alkoholisko dzērienu mazumtirdzniecībai, kas izsniegta uz saskaņojumā alkoholisko dzērienu mazumtirdzniecībai norādīto tirdzniecības vietu.</w:t>
            </w:r>
          </w:p>
        </w:tc>
      </w:tr>
      <w:tr w:rsidR="002E257E" w:rsidTr="00A05135">
        <w:tc>
          <w:tcPr>
            <w:tcW w:w="516" w:type="dxa"/>
          </w:tcPr>
          <w:p w:rsidR="002E257E" w:rsidRPr="004F7EF8" w:rsidRDefault="002E257E" w:rsidP="00A05135">
            <w:pPr>
              <w:rPr>
                <w:b/>
                <w:sz w:val="19"/>
                <w:szCs w:val="19"/>
              </w:rPr>
            </w:pPr>
            <w:r w:rsidRPr="004F7EF8">
              <w:rPr>
                <w:b/>
                <w:sz w:val="19"/>
                <w:szCs w:val="19"/>
              </w:rPr>
              <w:t>17.</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pieprasīšanas veidi</w:t>
            </w:r>
          </w:p>
          <w:p w:rsidR="002E257E" w:rsidRPr="004F7EF8" w:rsidRDefault="002E257E" w:rsidP="00A05135">
            <w:pPr>
              <w:rPr>
                <w:rFonts w:ascii="Arial" w:hAnsi="Arial" w:cs="Arial"/>
                <w:b/>
                <w:sz w:val="20"/>
                <w:szCs w:val="20"/>
              </w:rPr>
            </w:pPr>
          </w:p>
        </w:tc>
        <w:tc>
          <w:tcPr>
            <w:tcW w:w="5580" w:type="dxa"/>
          </w:tcPr>
          <w:p w:rsidR="002E257E" w:rsidRPr="004F7EF8" w:rsidRDefault="002E257E" w:rsidP="00A05135">
            <w:pPr>
              <w:rPr>
                <w:rFonts w:ascii="Arial" w:hAnsi="Arial" w:cs="Arial"/>
                <w:sz w:val="20"/>
                <w:szCs w:val="20"/>
              </w:rPr>
            </w:pPr>
            <w:r w:rsidRPr="004F7EF8">
              <w:rPr>
                <w:rFonts w:ascii="Arial" w:hAnsi="Arial" w:cs="Arial"/>
                <w:sz w:val="20"/>
                <w:szCs w:val="20"/>
              </w:rPr>
              <w:t>Klātiene; e-pasts</w:t>
            </w:r>
            <w:r>
              <w:rPr>
                <w:rFonts w:ascii="Arial" w:hAnsi="Arial" w:cs="Arial"/>
                <w:sz w:val="20"/>
                <w:szCs w:val="20"/>
              </w:rPr>
              <w:t>, pasts</w:t>
            </w:r>
          </w:p>
        </w:tc>
      </w:tr>
      <w:tr w:rsidR="002E257E" w:rsidTr="00A05135">
        <w:tc>
          <w:tcPr>
            <w:tcW w:w="516" w:type="dxa"/>
          </w:tcPr>
          <w:p w:rsidR="002E257E" w:rsidRPr="004F7EF8" w:rsidRDefault="002E257E" w:rsidP="00A05135">
            <w:pPr>
              <w:rPr>
                <w:b/>
                <w:sz w:val="19"/>
                <w:szCs w:val="19"/>
              </w:rPr>
            </w:pPr>
            <w:r w:rsidRPr="004F7EF8">
              <w:rPr>
                <w:b/>
                <w:sz w:val="19"/>
                <w:szCs w:val="19"/>
              </w:rPr>
              <w:t>18.</w:t>
            </w:r>
          </w:p>
        </w:tc>
        <w:tc>
          <w:tcPr>
            <w:tcW w:w="4164" w:type="dxa"/>
          </w:tcPr>
          <w:p w:rsidR="002E257E" w:rsidRPr="004F7EF8" w:rsidRDefault="002E257E" w:rsidP="00A05135">
            <w:pPr>
              <w:rPr>
                <w:rFonts w:ascii="Arial" w:hAnsi="Arial" w:cs="Arial"/>
                <w:b/>
                <w:sz w:val="20"/>
                <w:szCs w:val="20"/>
              </w:rPr>
            </w:pPr>
            <w:r w:rsidRPr="004F7EF8">
              <w:rPr>
                <w:rFonts w:ascii="Arial" w:hAnsi="Arial" w:cs="Arial"/>
                <w:b/>
                <w:sz w:val="20"/>
                <w:szCs w:val="20"/>
              </w:rPr>
              <w:t>Pakalpojuma saņemšanas veidi</w:t>
            </w:r>
          </w:p>
        </w:tc>
        <w:tc>
          <w:tcPr>
            <w:tcW w:w="5580" w:type="dxa"/>
          </w:tcPr>
          <w:p w:rsidR="002E257E" w:rsidRPr="004F7EF8" w:rsidRDefault="002E257E" w:rsidP="00A05135">
            <w:pPr>
              <w:rPr>
                <w:rFonts w:ascii="Arial" w:hAnsi="Arial" w:cs="Arial"/>
                <w:sz w:val="20"/>
                <w:szCs w:val="20"/>
              </w:rPr>
            </w:pPr>
            <w:r>
              <w:rPr>
                <w:rFonts w:ascii="Arial" w:hAnsi="Arial" w:cs="Arial"/>
                <w:sz w:val="20"/>
                <w:szCs w:val="20"/>
              </w:rPr>
              <w:t xml:space="preserve">Klātiene, e-pasts; pasts </w:t>
            </w:r>
          </w:p>
        </w:tc>
      </w:tr>
    </w:tbl>
    <w:p w:rsidR="002E257E" w:rsidRDefault="002E257E" w:rsidP="002E257E"/>
    <w:p w:rsidR="002E257E" w:rsidRPr="0037718A" w:rsidRDefault="002E257E" w:rsidP="002E257E"/>
    <w:p w:rsidR="00811E90" w:rsidRDefault="00811E90"/>
    <w:sectPr w:rsidR="00811E90" w:rsidSect="008B39B1">
      <w:pgSz w:w="11906" w:h="16838"/>
      <w:pgMar w:top="719" w:right="566"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577"/>
    <w:multiLevelType w:val="hybridMultilevel"/>
    <w:tmpl w:val="A9860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7E"/>
    <w:rsid w:val="00091835"/>
    <w:rsid w:val="001F1A1F"/>
    <w:rsid w:val="002E257E"/>
    <w:rsid w:val="00445214"/>
    <w:rsid w:val="00811E90"/>
    <w:rsid w:val="00E75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F69E044-BCE7-40D4-AC8D-395AA776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7E"/>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5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doc.php?id=880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3229</Words>
  <Characters>1841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Arija Miksa</cp:lastModifiedBy>
  <cp:revision>2</cp:revision>
  <dcterms:created xsi:type="dcterms:W3CDTF">2016-04-27T12:59:00Z</dcterms:created>
  <dcterms:modified xsi:type="dcterms:W3CDTF">2016-04-27T13:54:00Z</dcterms:modified>
</cp:coreProperties>
</file>