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E96FD" w14:textId="5DC24E5B" w:rsidR="00453657" w:rsidRPr="00FB08C6" w:rsidRDefault="00251A70" w:rsidP="00FB08C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w:t>
      </w:r>
      <w:r w:rsidR="00FB08C6" w:rsidRPr="00FB08C6">
        <w:rPr>
          <w:rFonts w:ascii="Times New Roman" w:hAnsi="Times New Roman" w:cs="Times New Roman"/>
          <w:b/>
          <w:bCs/>
          <w:sz w:val="24"/>
          <w:szCs w:val="24"/>
        </w:rPr>
        <w:t>askaidrojuma raksts 2019.gada budžeta</w:t>
      </w:r>
      <w:r w:rsidR="000126A9">
        <w:rPr>
          <w:rFonts w:ascii="Times New Roman" w:hAnsi="Times New Roman" w:cs="Times New Roman"/>
          <w:b/>
          <w:bCs/>
          <w:sz w:val="24"/>
          <w:szCs w:val="24"/>
        </w:rPr>
        <w:t>m</w:t>
      </w:r>
    </w:p>
    <w:p w14:paraId="08B370A8" w14:textId="77777777" w:rsidR="00FB08C6" w:rsidRPr="00FB08C6" w:rsidRDefault="00FB08C6" w:rsidP="00FB08C6">
      <w:pPr>
        <w:autoSpaceDE w:val="0"/>
        <w:autoSpaceDN w:val="0"/>
        <w:adjustRightInd w:val="0"/>
        <w:spacing w:after="0" w:line="240" w:lineRule="auto"/>
        <w:jc w:val="center"/>
        <w:rPr>
          <w:rFonts w:ascii="Times New Roman" w:hAnsi="Times New Roman" w:cs="Times New Roman"/>
        </w:rPr>
      </w:pPr>
    </w:p>
    <w:p w14:paraId="3D2E0D2C" w14:textId="77777777" w:rsidR="00FB08C6" w:rsidRPr="00B4274D" w:rsidRDefault="00FB08C6" w:rsidP="00FB08C6">
      <w:pPr>
        <w:autoSpaceDE w:val="0"/>
        <w:autoSpaceDN w:val="0"/>
        <w:adjustRightInd w:val="0"/>
        <w:spacing w:after="0" w:line="240" w:lineRule="auto"/>
        <w:jc w:val="center"/>
        <w:rPr>
          <w:rFonts w:ascii="Times New Roman" w:hAnsi="Times New Roman" w:cs="Times New Roman"/>
          <w:sz w:val="24"/>
          <w:szCs w:val="24"/>
        </w:rPr>
      </w:pPr>
      <w:r w:rsidRPr="00FB08C6">
        <w:rPr>
          <w:rFonts w:ascii="Times New Roman" w:hAnsi="Times New Roman" w:cs="Times New Roman"/>
          <w:b/>
          <w:sz w:val="24"/>
          <w:szCs w:val="24"/>
        </w:rPr>
        <w:t>Salacgrīvas novada attīstības stratēģija -galvenie mērķi, prioritātes 2019.-2021.gadam</w:t>
      </w:r>
      <w:r w:rsidR="00155177">
        <w:rPr>
          <w:rFonts w:ascii="Times New Roman" w:hAnsi="Times New Roman" w:cs="Times New Roman"/>
          <w:b/>
          <w:sz w:val="24"/>
          <w:szCs w:val="24"/>
        </w:rPr>
        <w:t xml:space="preserve"> </w:t>
      </w:r>
      <w:r w:rsidR="00155177" w:rsidRPr="00B4274D">
        <w:rPr>
          <w:rFonts w:ascii="Times New Roman" w:hAnsi="Times New Roman" w:cs="Times New Roman"/>
          <w:sz w:val="24"/>
          <w:szCs w:val="24"/>
        </w:rPr>
        <w:t>(V.Krūze)</w:t>
      </w:r>
    </w:p>
    <w:p w14:paraId="2ABC31B8" w14:textId="77777777" w:rsidR="00FB08C6" w:rsidRDefault="00FB08C6" w:rsidP="00FB08C6">
      <w:pPr>
        <w:autoSpaceDE w:val="0"/>
        <w:autoSpaceDN w:val="0"/>
        <w:adjustRightInd w:val="0"/>
        <w:spacing w:after="0" w:line="240" w:lineRule="auto"/>
        <w:jc w:val="center"/>
        <w:rPr>
          <w:rFonts w:ascii="Times New Roman" w:hAnsi="Times New Roman" w:cs="Times New Roman"/>
          <w:b/>
        </w:rPr>
      </w:pPr>
    </w:p>
    <w:p w14:paraId="218B97AC" w14:textId="77777777" w:rsidR="009039A1" w:rsidRPr="009039A1" w:rsidRDefault="009039A1" w:rsidP="005A7329">
      <w:pPr>
        <w:autoSpaceDE w:val="0"/>
        <w:autoSpaceDN w:val="0"/>
        <w:adjustRightInd w:val="0"/>
        <w:spacing w:after="0" w:line="240" w:lineRule="auto"/>
        <w:rPr>
          <w:rFonts w:ascii="Times New Roman" w:hAnsi="Times New Roman" w:cs="Times New Roman"/>
          <w:sz w:val="24"/>
          <w:szCs w:val="24"/>
        </w:rPr>
      </w:pPr>
      <w:r w:rsidRPr="009039A1">
        <w:rPr>
          <w:rFonts w:ascii="Times New Roman" w:hAnsi="Times New Roman" w:cs="Times New Roman"/>
          <w:b/>
          <w:sz w:val="24"/>
          <w:szCs w:val="24"/>
        </w:rPr>
        <w:t>Ilgtermiņa virsmērķis</w:t>
      </w:r>
      <w:r>
        <w:rPr>
          <w:rFonts w:ascii="Times New Roman" w:hAnsi="Times New Roman" w:cs="Times New Roman"/>
          <w:sz w:val="24"/>
          <w:szCs w:val="24"/>
        </w:rPr>
        <w:t xml:space="preserve"> - </w:t>
      </w:r>
      <w:r w:rsidRPr="009039A1">
        <w:rPr>
          <w:rFonts w:ascii="Times New Roman" w:hAnsi="Times New Roman" w:cs="Times New Roman"/>
          <w:sz w:val="24"/>
          <w:szCs w:val="24"/>
        </w:rPr>
        <w:t xml:space="preserve"> </w:t>
      </w:r>
      <w:r w:rsidRPr="009039A1">
        <w:rPr>
          <w:rFonts w:ascii="Times New Roman" w:hAnsi="Times New Roman" w:cs="Times New Roman"/>
          <w:sz w:val="24"/>
          <w:szCs w:val="24"/>
        </w:rPr>
        <w:tab/>
        <w:t xml:space="preserve">Novada vietējos resursos bāzēta pašpietiekamība, nodrošinot labas pārvaldības virzītus panākumus dabas, ekonomiskās un sociālās vides uzlabošanā. </w:t>
      </w:r>
    </w:p>
    <w:p w14:paraId="02EB017D" w14:textId="308AD649" w:rsidR="00FB08C6" w:rsidRDefault="009039A1" w:rsidP="005A7329">
      <w:pPr>
        <w:autoSpaceDE w:val="0"/>
        <w:autoSpaceDN w:val="0"/>
        <w:adjustRightInd w:val="0"/>
        <w:spacing w:after="0" w:line="240" w:lineRule="auto"/>
        <w:rPr>
          <w:rFonts w:ascii="Times New Roman" w:hAnsi="Times New Roman" w:cs="Times New Roman"/>
          <w:sz w:val="24"/>
          <w:szCs w:val="24"/>
        </w:rPr>
      </w:pPr>
      <w:r w:rsidRPr="009039A1">
        <w:rPr>
          <w:rFonts w:ascii="Times New Roman" w:hAnsi="Times New Roman" w:cs="Times New Roman"/>
          <w:sz w:val="24"/>
          <w:szCs w:val="24"/>
        </w:rPr>
        <w:t>Novada pašpietiekamību raksturo vietējo resursu izmantošana attīstības veicināšanā, un ikdienas vajadzību nodrošināšanā pēc iespējas mazāk izmantojot no ārējiem faktoriem atkarīgus risinājumus.</w:t>
      </w:r>
    </w:p>
    <w:p w14:paraId="70DCB05C" w14:textId="77777777" w:rsidR="009039A1" w:rsidRDefault="009039A1" w:rsidP="005A7329">
      <w:pPr>
        <w:autoSpaceDE w:val="0"/>
        <w:autoSpaceDN w:val="0"/>
        <w:adjustRightInd w:val="0"/>
        <w:spacing w:after="0" w:line="240" w:lineRule="auto"/>
        <w:rPr>
          <w:rFonts w:ascii="Times New Roman" w:hAnsi="Times New Roman" w:cs="Times New Roman"/>
          <w:sz w:val="24"/>
          <w:szCs w:val="24"/>
        </w:rPr>
      </w:pPr>
      <w:r w:rsidRPr="009039A1">
        <w:rPr>
          <w:rFonts w:ascii="Times New Roman" w:hAnsi="Times New Roman" w:cs="Times New Roman"/>
          <w:b/>
          <w:sz w:val="24"/>
          <w:szCs w:val="24"/>
        </w:rPr>
        <w:t>Ilgtermiņa mērķi</w:t>
      </w:r>
      <w:r>
        <w:rPr>
          <w:rFonts w:ascii="Times New Roman" w:hAnsi="Times New Roman" w:cs="Times New Roman"/>
          <w:sz w:val="24"/>
          <w:szCs w:val="24"/>
        </w:rPr>
        <w:t xml:space="preserve">: </w:t>
      </w:r>
    </w:p>
    <w:p w14:paraId="594B85E2" w14:textId="7D509C18" w:rsidR="009039A1" w:rsidRDefault="009039A1" w:rsidP="005A7329">
      <w:pPr>
        <w:pStyle w:val="ListParagraph"/>
        <w:numPr>
          <w:ilvl w:val="0"/>
          <w:numId w:val="2"/>
        </w:numPr>
        <w:autoSpaceDE w:val="0"/>
        <w:autoSpaceDN w:val="0"/>
        <w:adjustRightInd w:val="0"/>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Komfortabla, līdzsvarota, droša dzīvesvide</w:t>
      </w:r>
      <w:r>
        <w:rPr>
          <w:rFonts w:ascii="Times New Roman" w:hAnsi="Times New Roman" w:cs="Times New Roman"/>
          <w:sz w:val="24"/>
          <w:szCs w:val="24"/>
        </w:rPr>
        <w:t>;</w:t>
      </w:r>
    </w:p>
    <w:p w14:paraId="18812D06" w14:textId="7070D462" w:rsidR="009039A1" w:rsidRDefault="009039A1" w:rsidP="005A7329">
      <w:pPr>
        <w:pStyle w:val="ListParagraph"/>
        <w:numPr>
          <w:ilvl w:val="0"/>
          <w:numId w:val="2"/>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Daudzveidīga mobilitāte</w:t>
      </w:r>
      <w:r>
        <w:rPr>
          <w:rFonts w:ascii="Times New Roman" w:hAnsi="Times New Roman" w:cs="Times New Roman"/>
          <w:sz w:val="24"/>
          <w:szCs w:val="24"/>
        </w:rPr>
        <w:t>.</w:t>
      </w:r>
    </w:p>
    <w:p w14:paraId="3390B993" w14:textId="52840DC0" w:rsidR="009039A1" w:rsidRDefault="009039A1" w:rsidP="005A7329">
      <w:pPr>
        <w:pStyle w:val="ListParagraph"/>
        <w:spacing w:after="0" w:line="240" w:lineRule="auto"/>
        <w:ind w:left="0"/>
        <w:rPr>
          <w:rFonts w:ascii="Times New Roman" w:hAnsi="Times New Roman" w:cs="Times New Roman"/>
          <w:b/>
          <w:sz w:val="24"/>
          <w:szCs w:val="24"/>
        </w:rPr>
      </w:pPr>
      <w:r w:rsidRPr="009039A1">
        <w:rPr>
          <w:rFonts w:ascii="Times New Roman" w:hAnsi="Times New Roman" w:cs="Times New Roman"/>
          <w:b/>
          <w:sz w:val="24"/>
          <w:szCs w:val="24"/>
        </w:rPr>
        <w:t>Ilgtermiņa prioritātes:</w:t>
      </w:r>
    </w:p>
    <w:p w14:paraId="3818E857" w14:textId="65171404" w:rsidR="009039A1" w:rsidRPr="009039A1" w:rsidRDefault="009039A1" w:rsidP="005A7329">
      <w:pPr>
        <w:pStyle w:val="ListParagraph"/>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Sabiedrības labklājība</w:t>
      </w:r>
      <w:r>
        <w:rPr>
          <w:rFonts w:ascii="Times New Roman" w:hAnsi="Times New Roman" w:cs="Times New Roman"/>
          <w:sz w:val="24"/>
          <w:szCs w:val="24"/>
        </w:rPr>
        <w:t>;</w:t>
      </w:r>
    </w:p>
    <w:p w14:paraId="5DFA3C7A" w14:textId="4167BEDC" w:rsidR="009039A1" w:rsidRPr="009039A1" w:rsidRDefault="009039A1" w:rsidP="005A7329">
      <w:pPr>
        <w:pStyle w:val="ListParagraph"/>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Uzņēmējdarbība</w:t>
      </w:r>
      <w:r>
        <w:rPr>
          <w:rFonts w:ascii="Times New Roman" w:hAnsi="Times New Roman" w:cs="Times New Roman"/>
          <w:sz w:val="24"/>
          <w:szCs w:val="24"/>
        </w:rPr>
        <w:t>;</w:t>
      </w:r>
    </w:p>
    <w:p w14:paraId="28C0C2AF" w14:textId="75151845" w:rsidR="009039A1" w:rsidRPr="009039A1" w:rsidRDefault="009039A1" w:rsidP="005A7329">
      <w:pPr>
        <w:pStyle w:val="ListParagraph"/>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Mobilitāte un pakalpojumu pieejamība</w:t>
      </w:r>
      <w:r>
        <w:rPr>
          <w:rFonts w:ascii="Times New Roman" w:hAnsi="Times New Roman" w:cs="Times New Roman"/>
          <w:sz w:val="24"/>
          <w:szCs w:val="24"/>
        </w:rPr>
        <w:t>;</w:t>
      </w:r>
    </w:p>
    <w:p w14:paraId="27935856" w14:textId="4550FEDC" w:rsidR="009039A1" w:rsidRPr="009039A1" w:rsidRDefault="009039A1" w:rsidP="005A7329">
      <w:pPr>
        <w:pStyle w:val="ListParagraph"/>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Vides ilgtspējīga apsaimniekošana</w:t>
      </w:r>
      <w:r>
        <w:rPr>
          <w:rFonts w:ascii="Times New Roman" w:hAnsi="Times New Roman" w:cs="Times New Roman"/>
          <w:sz w:val="24"/>
          <w:szCs w:val="24"/>
        </w:rPr>
        <w:t>;</w:t>
      </w:r>
      <w:r w:rsidRPr="009039A1">
        <w:rPr>
          <w:rFonts w:ascii="Times New Roman" w:hAnsi="Times New Roman" w:cs="Times New Roman"/>
          <w:sz w:val="24"/>
          <w:szCs w:val="24"/>
        </w:rPr>
        <w:t xml:space="preserve"> </w:t>
      </w:r>
    </w:p>
    <w:p w14:paraId="3622FE30" w14:textId="16E32FE4" w:rsidR="009039A1" w:rsidRDefault="009039A1" w:rsidP="005A7329">
      <w:pPr>
        <w:pStyle w:val="ListParagraph"/>
        <w:numPr>
          <w:ilvl w:val="0"/>
          <w:numId w:val="3"/>
        </w:numPr>
        <w:spacing w:after="0" w:line="240" w:lineRule="auto"/>
        <w:ind w:left="0" w:firstLine="0"/>
        <w:rPr>
          <w:rFonts w:ascii="Times New Roman" w:hAnsi="Times New Roman" w:cs="Times New Roman"/>
          <w:sz w:val="24"/>
          <w:szCs w:val="24"/>
        </w:rPr>
      </w:pPr>
      <w:r w:rsidRPr="009039A1">
        <w:rPr>
          <w:rFonts w:ascii="Times New Roman" w:hAnsi="Times New Roman" w:cs="Times New Roman"/>
          <w:sz w:val="24"/>
          <w:szCs w:val="24"/>
        </w:rPr>
        <w:t>Efektīva pārvaldība</w:t>
      </w:r>
      <w:r>
        <w:rPr>
          <w:rFonts w:ascii="Times New Roman" w:hAnsi="Times New Roman" w:cs="Times New Roman"/>
          <w:sz w:val="24"/>
          <w:szCs w:val="24"/>
        </w:rPr>
        <w:t>.</w:t>
      </w:r>
    </w:p>
    <w:p w14:paraId="24B0F6B3" w14:textId="33F505B3" w:rsidR="002D0708" w:rsidRDefault="002D0708" w:rsidP="002D0708">
      <w:pPr>
        <w:pStyle w:val="ListParagraph"/>
        <w:rPr>
          <w:rFonts w:ascii="Times New Roman" w:hAnsi="Times New Roman" w:cs="Times New Roman"/>
          <w:sz w:val="24"/>
          <w:szCs w:val="24"/>
        </w:rPr>
      </w:pPr>
    </w:p>
    <w:p w14:paraId="31EF7B1D" w14:textId="13285B90" w:rsidR="005A7329" w:rsidRDefault="002D0708" w:rsidP="005A7329">
      <w:pPr>
        <w:pStyle w:val="ListParagraph"/>
        <w:spacing w:after="0" w:line="240" w:lineRule="auto"/>
        <w:ind w:left="0"/>
        <w:rPr>
          <w:rFonts w:ascii="Times New Roman" w:hAnsi="Times New Roman" w:cs="Times New Roman"/>
          <w:b/>
          <w:sz w:val="24"/>
          <w:szCs w:val="24"/>
        </w:rPr>
      </w:pPr>
      <w:bookmarkStart w:id="0" w:name="_Toc387151418"/>
      <w:bookmarkStart w:id="1" w:name="_Toc387151557"/>
      <w:bookmarkStart w:id="2" w:name="_Toc387158280"/>
      <w:bookmarkStart w:id="3" w:name="_Toc408407451"/>
      <w:bookmarkStart w:id="4" w:name="_Toc408407627"/>
      <w:bookmarkStart w:id="5" w:name="_Toc408407851"/>
      <w:bookmarkStart w:id="6" w:name="_Toc408410001"/>
      <w:bookmarkStart w:id="7" w:name="_Toc483392966"/>
      <w:r w:rsidRPr="002D0708">
        <w:rPr>
          <w:rFonts w:ascii="Times New Roman" w:hAnsi="Times New Roman" w:cs="Times New Roman"/>
          <w:b/>
          <w:sz w:val="24"/>
          <w:szCs w:val="24"/>
        </w:rPr>
        <w:t>Vidēja termiņa mērķi</w:t>
      </w:r>
      <w:r w:rsidR="005A7329">
        <w:rPr>
          <w:rFonts w:ascii="Times New Roman" w:hAnsi="Times New Roman" w:cs="Times New Roman"/>
          <w:b/>
          <w:sz w:val="24"/>
          <w:szCs w:val="24"/>
        </w:rPr>
        <w:t>:</w:t>
      </w:r>
    </w:p>
    <w:p w14:paraId="41784145" w14:textId="5DC894F7" w:rsidR="005A7329" w:rsidRPr="005A7329" w:rsidRDefault="005A7329" w:rsidP="005A7329">
      <w:pPr>
        <w:pStyle w:val="ListParagraph"/>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Saliedēta, aktīva, sociāli nodrošināta un inteliģenta sabiedrība</w:t>
      </w:r>
      <w:r w:rsidRPr="005A7329">
        <w:rPr>
          <w:rFonts w:ascii="Times New Roman" w:hAnsi="Times New Roman" w:cs="Times New Roman"/>
          <w:sz w:val="24"/>
          <w:szCs w:val="24"/>
        </w:rPr>
        <w:t>;</w:t>
      </w:r>
    </w:p>
    <w:p w14:paraId="7307AD55" w14:textId="4C455028" w:rsidR="005A7329" w:rsidRPr="005A7329" w:rsidRDefault="005A7329" w:rsidP="005A7329">
      <w:pPr>
        <w:pStyle w:val="ListParagraph"/>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Veiksmīga uzņēmējdarbības vide</w:t>
      </w:r>
      <w:r w:rsidRPr="005A7329">
        <w:rPr>
          <w:rFonts w:ascii="Times New Roman" w:hAnsi="Times New Roman" w:cs="Times New Roman"/>
          <w:sz w:val="24"/>
          <w:szCs w:val="24"/>
        </w:rPr>
        <w:t>;</w:t>
      </w:r>
    </w:p>
    <w:p w14:paraId="1A20F57C" w14:textId="3BEC5263" w:rsidR="005A7329" w:rsidRPr="005A7329" w:rsidRDefault="005A7329" w:rsidP="005A7329">
      <w:pPr>
        <w:pStyle w:val="ListParagraph"/>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Sakārtota, droša un pieejama infrastruktūra</w:t>
      </w:r>
      <w:r w:rsidRPr="005A7329">
        <w:rPr>
          <w:rFonts w:ascii="Times New Roman" w:hAnsi="Times New Roman" w:cs="Times New Roman"/>
          <w:sz w:val="24"/>
          <w:szCs w:val="24"/>
        </w:rPr>
        <w:t>;</w:t>
      </w:r>
    </w:p>
    <w:p w14:paraId="74216DE3" w14:textId="49A2A9CB" w:rsidR="005A7329" w:rsidRPr="005A7329" w:rsidRDefault="005A7329" w:rsidP="005A7329">
      <w:pPr>
        <w:pStyle w:val="ListParagraph"/>
        <w:numPr>
          <w:ilvl w:val="0"/>
          <w:numId w:val="4"/>
        </w:numPr>
        <w:spacing w:after="0" w:line="240" w:lineRule="auto"/>
        <w:ind w:left="0" w:firstLine="0"/>
        <w:rPr>
          <w:rFonts w:ascii="Times New Roman" w:hAnsi="Times New Roman" w:cs="Times New Roman"/>
          <w:sz w:val="24"/>
          <w:szCs w:val="24"/>
        </w:rPr>
      </w:pPr>
      <w:r w:rsidRPr="002D0708">
        <w:rPr>
          <w:rFonts w:ascii="Times New Roman" w:hAnsi="Times New Roman" w:cs="Times New Roman"/>
          <w:sz w:val="24"/>
          <w:szCs w:val="24"/>
        </w:rPr>
        <w:t>Atpazīstams tūrisma reģions</w:t>
      </w:r>
      <w:r w:rsidRPr="005A7329">
        <w:rPr>
          <w:rFonts w:ascii="Times New Roman" w:hAnsi="Times New Roman" w:cs="Times New Roman"/>
          <w:sz w:val="24"/>
          <w:szCs w:val="24"/>
        </w:rPr>
        <w:t>.</w:t>
      </w:r>
    </w:p>
    <w:p w14:paraId="1C335369" w14:textId="63E2B1B7" w:rsidR="002D0708" w:rsidRPr="002D0708" w:rsidRDefault="002D0708" w:rsidP="005A7329">
      <w:pPr>
        <w:pStyle w:val="ListParagraph"/>
        <w:spacing w:after="0" w:line="240" w:lineRule="auto"/>
        <w:ind w:left="0"/>
        <w:rPr>
          <w:rFonts w:ascii="Times New Roman" w:hAnsi="Times New Roman" w:cs="Times New Roman"/>
          <w:b/>
          <w:sz w:val="24"/>
          <w:szCs w:val="24"/>
        </w:rPr>
      </w:pPr>
      <w:r w:rsidRPr="002D0708">
        <w:rPr>
          <w:rFonts w:ascii="Times New Roman" w:hAnsi="Times New Roman" w:cs="Times New Roman"/>
          <w:b/>
          <w:sz w:val="24"/>
          <w:szCs w:val="24"/>
        </w:rPr>
        <w:t xml:space="preserve"> </w:t>
      </w:r>
      <w:r w:rsidR="005A7329" w:rsidRPr="002D0708">
        <w:rPr>
          <w:rFonts w:ascii="Times New Roman" w:hAnsi="Times New Roman" w:cs="Times New Roman"/>
          <w:b/>
          <w:sz w:val="24"/>
          <w:szCs w:val="24"/>
        </w:rPr>
        <w:t xml:space="preserve">Vidēja termiņa </w:t>
      </w:r>
      <w:r w:rsidRPr="002D0708">
        <w:rPr>
          <w:rFonts w:ascii="Times New Roman" w:hAnsi="Times New Roman" w:cs="Times New Roman"/>
          <w:b/>
          <w:sz w:val="24"/>
          <w:szCs w:val="24"/>
        </w:rPr>
        <w:t>prioritātes</w:t>
      </w:r>
      <w:bookmarkEnd w:id="0"/>
      <w:bookmarkEnd w:id="1"/>
      <w:bookmarkEnd w:id="2"/>
      <w:bookmarkEnd w:id="3"/>
      <w:bookmarkEnd w:id="4"/>
      <w:bookmarkEnd w:id="5"/>
      <w:bookmarkEnd w:id="6"/>
      <w:bookmarkEnd w:id="7"/>
      <w:r w:rsidR="005A7329">
        <w:rPr>
          <w:rFonts w:ascii="Times New Roman" w:hAnsi="Times New Roman" w:cs="Times New Roman"/>
          <w:b/>
          <w:sz w:val="24"/>
          <w:szCs w:val="24"/>
        </w:rPr>
        <w:t>:</w:t>
      </w:r>
    </w:p>
    <w:p w14:paraId="24189154" w14:textId="2493A196"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VP1.1. Efektīva pārvaldība</w:t>
      </w:r>
      <w:r w:rsidR="005A7329">
        <w:rPr>
          <w:rFonts w:ascii="Times New Roman" w:hAnsi="Times New Roman" w:cs="Times New Roman"/>
          <w:sz w:val="24"/>
          <w:szCs w:val="24"/>
        </w:rPr>
        <w:t>;</w:t>
      </w:r>
    </w:p>
    <w:p w14:paraId="5D8C1B8E" w14:textId="4EAAB7A1"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VP1.2. Daudzpusīga izglītība</w:t>
      </w:r>
      <w:r w:rsidR="005A7329">
        <w:rPr>
          <w:rFonts w:ascii="Times New Roman" w:hAnsi="Times New Roman" w:cs="Times New Roman"/>
          <w:sz w:val="24"/>
          <w:szCs w:val="24"/>
        </w:rPr>
        <w:t>;</w:t>
      </w:r>
    </w:p>
    <w:p w14:paraId="630A00D5" w14:textId="065387EA"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VP1.3. Saglabāta, uzturēta un pilnveidota kultūrvide</w:t>
      </w:r>
      <w:r w:rsidR="005A7329">
        <w:rPr>
          <w:rFonts w:ascii="Times New Roman" w:hAnsi="Times New Roman" w:cs="Times New Roman"/>
          <w:sz w:val="24"/>
          <w:szCs w:val="24"/>
        </w:rPr>
        <w:t>;</w:t>
      </w:r>
    </w:p>
    <w:p w14:paraId="11CEDAF3" w14:textId="4D91C91D"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VP1.4. Fiziski aktīvs un veselīgs dzīvesveids</w:t>
      </w:r>
      <w:r w:rsidR="005A7329">
        <w:rPr>
          <w:rFonts w:ascii="Times New Roman" w:hAnsi="Times New Roman" w:cs="Times New Roman"/>
          <w:sz w:val="24"/>
          <w:szCs w:val="24"/>
        </w:rPr>
        <w:t>;</w:t>
      </w:r>
    </w:p>
    <w:p w14:paraId="47B26183" w14:textId="6CDD44B6"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VP1.5. Pieejama veselības aprūpe un sociālie pakalpojumi</w:t>
      </w:r>
      <w:r w:rsidR="005A7329">
        <w:rPr>
          <w:rFonts w:ascii="Times New Roman" w:hAnsi="Times New Roman" w:cs="Times New Roman"/>
          <w:sz w:val="24"/>
          <w:szCs w:val="24"/>
        </w:rPr>
        <w:t>;</w:t>
      </w:r>
    </w:p>
    <w:p w14:paraId="22E5B080" w14:textId="7FA1D886"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VP2.1. Kvalitatīvi pašvaldības pakalpojumi un atbalsta pasākumi uzņēmējiem un investoriem</w:t>
      </w:r>
      <w:r w:rsidR="005A7329">
        <w:rPr>
          <w:rFonts w:ascii="Times New Roman" w:hAnsi="Times New Roman" w:cs="Times New Roman"/>
          <w:sz w:val="24"/>
          <w:szCs w:val="24"/>
        </w:rPr>
        <w:t>;</w:t>
      </w:r>
    </w:p>
    <w:p w14:paraId="554BC635" w14:textId="2BE27A17" w:rsidR="005A7329"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VP3.1. Kvalitatīva dzīves vide</w:t>
      </w:r>
      <w:r w:rsidR="005A7329">
        <w:rPr>
          <w:rFonts w:ascii="Times New Roman" w:hAnsi="Times New Roman" w:cs="Times New Roman"/>
          <w:sz w:val="24"/>
          <w:szCs w:val="24"/>
        </w:rPr>
        <w:t>;</w:t>
      </w:r>
    </w:p>
    <w:p w14:paraId="6CDB7781" w14:textId="2A728E3D"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VP3.2. Kvalitatīva infrastruktūra</w:t>
      </w:r>
      <w:r w:rsidR="005A7329">
        <w:rPr>
          <w:rFonts w:ascii="Times New Roman" w:hAnsi="Times New Roman" w:cs="Times New Roman"/>
          <w:sz w:val="24"/>
          <w:szCs w:val="24"/>
        </w:rPr>
        <w:t>;</w:t>
      </w:r>
    </w:p>
    <w:p w14:paraId="3A8486C6" w14:textId="07C77163"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VP3.3. Energoefektīva un ilgtspējīga saimniekošana</w:t>
      </w:r>
      <w:r w:rsidR="005A7329">
        <w:rPr>
          <w:rFonts w:ascii="Times New Roman" w:hAnsi="Times New Roman" w:cs="Times New Roman"/>
          <w:sz w:val="24"/>
          <w:szCs w:val="24"/>
        </w:rPr>
        <w:t>;</w:t>
      </w:r>
    </w:p>
    <w:p w14:paraId="0DDCCCA7" w14:textId="0955916D"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VP3.4. Paplašināta ostas teritorija, padziļināti ūdensceļi</w:t>
      </w:r>
      <w:r w:rsidR="005A7329">
        <w:rPr>
          <w:rFonts w:ascii="Times New Roman" w:hAnsi="Times New Roman" w:cs="Times New Roman"/>
          <w:sz w:val="24"/>
          <w:szCs w:val="24"/>
        </w:rPr>
        <w:t>;</w:t>
      </w:r>
    </w:p>
    <w:p w14:paraId="6AA3E4AD" w14:textId="32B8A763" w:rsidR="002D0708" w:rsidRPr="002D0708" w:rsidRDefault="002D0708" w:rsidP="005A7329">
      <w:pPr>
        <w:pStyle w:val="ListParagraph"/>
        <w:spacing w:after="0" w:line="240" w:lineRule="auto"/>
        <w:ind w:left="0"/>
        <w:rPr>
          <w:rFonts w:ascii="Times New Roman" w:hAnsi="Times New Roman" w:cs="Times New Roman"/>
          <w:sz w:val="24"/>
          <w:szCs w:val="24"/>
        </w:rPr>
      </w:pPr>
      <w:r w:rsidRPr="002D0708">
        <w:rPr>
          <w:rFonts w:ascii="Times New Roman" w:hAnsi="Times New Roman" w:cs="Times New Roman"/>
          <w:sz w:val="24"/>
          <w:szCs w:val="24"/>
        </w:rPr>
        <w:t>VP4.1. Sakārtota tūrisma infrastruktūra</w:t>
      </w:r>
      <w:r w:rsidR="005A7329">
        <w:rPr>
          <w:rFonts w:ascii="Times New Roman" w:hAnsi="Times New Roman" w:cs="Times New Roman"/>
          <w:sz w:val="24"/>
          <w:szCs w:val="24"/>
        </w:rPr>
        <w:t>;</w:t>
      </w:r>
    </w:p>
    <w:p w14:paraId="26DB8FE9" w14:textId="77777777" w:rsidR="00FB08C6" w:rsidRPr="00FB08C6" w:rsidRDefault="00FB08C6" w:rsidP="00FB08C6">
      <w:pPr>
        <w:autoSpaceDE w:val="0"/>
        <w:autoSpaceDN w:val="0"/>
        <w:adjustRightInd w:val="0"/>
        <w:spacing w:after="0" w:line="240" w:lineRule="auto"/>
        <w:jc w:val="center"/>
        <w:rPr>
          <w:rFonts w:ascii="Times New Roman" w:hAnsi="Times New Roman" w:cs="Times New Roman"/>
          <w:sz w:val="24"/>
          <w:szCs w:val="24"/>
        </w:rPr>
      </w:pPr>
    </w:p>
    <w:p w14:paraId="7001393E" w14:textId="77777777" w:rsidR="00B4274D" w:rsidRDefault="00FB08C6" w:rsidP="00FB08C6">
      <w:pPr>
        <w:autoSpaceDE w:val="0"/>
        <w:autoSpaceDN w:val="0"/>
        <w:adjustRightInd w:val="0"/>
        <w:spacing w:after="0" w:line="240" w:lineRule="auto"/>
        <w:jc w:val="center"/>
        <w:rPr>
          <w:rFonts w:ascii="Times New Roman" w:hAnsi="Times New Roman" w:cs="Times New Roman"/>
          <w:b/>
          <w:sz w:val="24"/>
          <w:szCs w:val="24"/>
        </w:rPr>
      </w:pPr>
      <w:r w:rsidRPr="00FB08C6">
        <w:rPr>
          <w:rFonts w:ascii="Times New Roman" w:hAnsi="Times New Roman" w:cs="Times New Roman"/>
          <w:b/>
          <w:sz w:val="24"/>
          <w:szCs w:val="24"/>
        </w:rPr>
        <w:t>Iedzīvotāji, struktūra, izmaiņas, nodarbinātība</w:t>
      </w:r>
      <w:r w:rsidR="002D3C60">
        <w:rPr>
          <w:rFonts w:ascii="Times New Roman" w:hAnsi="Times New Roman" w:cs="Times New Roman"/>
          <w:b/>
          <w:sz w:val="24"/>
          <w:szCs w:val="24"/>
        </w:rPr>
        <w:t xml:space="preserve"> </w:t>
      </w:r>
    </w:p>
    <w:p w14:paraId="5D84D162" w14:textId="4B6EAD75" w:rsidR="00FB08C6" w:rsidRPr="00FB08C6" w:rsidRDefault="002D3C60" w:rsidP="00FB08C6">
      <w:pPr>
        <w:autoSpaceDE w:val="0"/>
        <w:autoSpaceDN w:val="0"/>
        <w:adjustRightInd w:val="0"/>
        <w:spacing w:after="0" w:line="240" w:lineRule="auto"/>
        <w:jc w:val="center"/>
        <w:rPr>
          <w:rFonts w:ascii="Times New Roman" w:hAnsi="Times New Roman" w:cs="Times New Roman"/>
          <w:b/>
          <w:sz w:val="24"/>
          <w:szCs w:val="24"/>
        </w:rPr>
      </w:pPr>
      <w:r w:rsidRPr="00B4274D">
        <w:rPr>
          <w:rFonts w:ascii="Times New Roman" w:hAnsi="Times New Roman" w:cs="Times New Roman"/>
          <w:sz w:val="24"/>
          <w:szCs w:val="24"/>
        </w:rPr>
        <w:t>(</w:t>
      </w:r>
      <w:proofErr w:type="spellStart"/>
      <w:r w:rsidRPr="00B4274D">
        <w:rPr>
          <w:rFonts w:ascii="Times New Roman" w:hAnsi="Times New Roman" w:cs="Times New Roman"/>
          <w:sz w:val="24"/>
          <w:szCs w:val="24"/>
        </w:rPr>
        <w:t>L.Zālīte</w:t>
      </w:r>
      <w:proofErr w:type="spellEnd"/>
      <w:r w:rsidRPr="00B4274D">
        <w:rPr>
          <w:rFonts w:ascii="Times New Roman" w:hAnsi="Times New Roman" w:cs="Times New Roman"/>
          <w:sz w:val="24"/>
          <w:szCs w:val="24"/>
        </w:rPr>
        <w:t>)</w:t>
      </w:r>
    </w:p>
    <w:p w14:paraId="4B617DDC" w14:textId="77777777" w:rsidR="00FB08C6" w:rsidRPr="00FB08C6" w:rsidRDefault="00FB08C6" w:rsidP="00FB08C6">
      <w:pPr>
        <w:autoSpaceDE w:val="0"/>
        <w:autoSpaceDN w:val="0"/>
        <w:adjustRightInd w:val="0"/>
        <w:spacing w:after="0" w:line="240" w:lineRule="auto"/>
        <w:jc w:val="center"/>
        <w:rPr>
          <w:rFonts w:ascii="Times New Roman" w:hAnsi="Times New Roman" w:cs="Times New Roman"/>
          <w:sz w:val="24"/>
          <w:szCs w:val="24"/>
        </w:rPr>
      </w:pPr>
    </w:p>
    <w:p w14:paraId="762631EB" w14:textId="1525DE5B" w:rsidR="0084517D" w:rsidRPr="00675567" w:rsidRDefault="0084517D" w:rsidP="00675567">
      <w:pPr>
        <w:autoSpaceDE w:val="0"/>
        <w:autoSpaceDN w:val="0"/>
        <w:adjustRightInd w:val="0"/>
        <w:spacing w:after="0" w:line="240" w:lineRule="auto"/>
        <w:ind w:firstLine="720"/>
        <w:jc w:val="both"/>
        <w:rPr>
          <w:rFonts w:ascii="Times New Roman" w:hAnsi="Times New Roman" w:cs="Times New Roman"/>
          <w:sz w:val="24"/>
          <w:szCs w:val="24"/>
        </w:rPr>
      </w:pPr>
      <w:r w:rsidRPr="00675567">
        <w:rPr>
          <w:rFonts w:ascii="Times New Roman" w:hAnsi="Times New Roman" w:cs="Times New Roman"/>
          <w:sz w:val="24"/>
          <w:szCs w:val="24"/>
        </w:rPr>
        <w:t>Saskaņā ar Pilsonības un migrācija</w:t>
      </w:r>
      <w:r w:rsidR="00675567" w:rsidRPr="00675567">
        <w:rPr>
          <w:rFonts w:ascii="Times New Roman" w:hAnsi="Times New Roman" w:cs="Times New Roman"/>
          <w:sz w:val="24"/>
          <w:szCs w:val="24"/>
        </w:rPr>
        <w:t>s</w:t>
      </w:r>
      <w:r w:rsidRPr="00675567">
        <w:rPr>
          <w:rFonts w:ascii="Times New Roman" w:hAnsi="Times New Roman" w:cs="Times New Roman"/>
          <w:sz w:val="24"/>
          <w:szCs w:val="24"/>
        </w:rPr>
        <w:t xml:space="preserve"> lietu pārvaldes datiem 2017.gada 1.janvārī Salacgrīvas novadā bija 8219 iedzīvotāji, 2018.gada sākumā - 8024. Pašvaldībā ir tendence samazināties iedzīvotāju skaitam. Novada lielākā iedzīvotāju daļa dzīvo pagastos  – 4414 (Ainažu pagastā – 480, Liepupes pagastā – 1838, Salacgrīvas pagastā – 2096). Abās pilsētās kopā ir 3610 iedzīvotāji (Ainažos – 787, Salacgrīvā – 2823).</w:t>
      </w:r>
    </w:p>
    <w:p w14:paraId="2542D7E2" w14:textId="5873D209" w:rsidR="0084517D" w:rsidRPr="00675567" w:rsidRDefault="0084517D" w:rsidP="00DB6D22">
      <w:pPr>
        <w:autoSpaceDE w:val="0"/>
        <w:autoSpaceDN w:val="0"/>
        <w:adjustRightInd w:val="0"/>
        <w:spacing w:after="0" w:line="240" w:lineRule="auto"/>
        <w:jc w:val="both"/>
        <w:rPr>
          <w:rFonts w:ascii="Times New Roman" w:hAnsi="Times New Roman" w:cs="Times New Roman"/>
          <w:sz w:val="24"/>
          <w:szCs w:val="24"/>
        </w:rPr>
      </w:pPr>
      <w:r w:rsidRPr="00675567">
        <w:rPr>
          <w:rFonts w:ascii="Times New Roman" w:hAnsi="Times New Roman" w:cs="Times New Roman"/>
          <w:sz w:val="24"/>
          <w:szCs w:val="24"/>
        </w:rPr>
        <w:t xml:space="preserve"> </w:t>
      </w:r>
      <w:r w:rsidR="00DB6D22">
        <w:rPr>
          <w:rFonts w:ascii="Times New Roman" w:hAnsi="Times New Roman" w:cs="Times New Roman"/>
          <w:sz w:val="24"/>
          <w:szCs w:val="24"/>
        </w:rPr>
        <w:tab/>
      </w:r>
      <w:r w:rsidRPr="00675567">
        <w:rPr>
          <w:rFonts w:ascii="Times New Roman" w:hAnsi="Times New Roman" w:cs="Times New Roman"/>
          <w:sz w:val="24"/>
          <w:szCs w:val="24"/>
        </w:rPr>
        <w:t xml:space="preserve">Salacgrīvas novada Dzimtsarakstu nodaļā 2017.gadā reģistrēti 44 jaundzimušie un 32 mirušie. Laikā no 2018.gada 1.janvāra līdz 19.septembrim reģistrēti 36 jaundzimušie 28 mirušie. </w:t>
      </w:r>
      <w:r w:rsidRPr="00675567">
        <w:rPr>
          <w:rFonts w:ascii="Times New Roman" w:hAnsi="Times New Roman" w:cs="Times New Roman"/>
          <w:sz w:val="24"/>
          <w:szCs w:val="24"/>
        </w:rPr>
        <w:lastRenderedPageBreak/>
        <w:t>Pēc novadā veiktajiem reģistriem nevar spriest par kopējo reālo situāciju, bet iedzīvotāju skaitam novadā ir pastāvīga tendence samazināties un negatīvs dabiskais pieaugums.</w:t>
      </w:r>
    </w:p>
    <w:p w14:paraId="1060C17C" w14:textId="77777777" w:rsidR="00FB08C6" w:rsidRDefault="0084517D" w:rsidP="00FB08C6">
      <w:pPr>
        <w:autoSpaceDE w:val="0"/>
        <w:autoSpaceDN w:val="0"/>
        <w:adjustRightInd w:val="0"/>
        <w:spacing w:after="0" w:line="240" w:lineRule="auto"/>
        <w:jc w:val="center"/>
        <w:rPr>
          <w:rFonts w:ascii="Times New Roman" w:hAnsi="Times New Roman" w:cs="Times New Roman"/>
          <w:sz w:val="24"/>
          <w:szCs w:val="24"/>
        </w:rPr>
      </w:pPr>
      <w:r>
        <w:rPr>
          <w:noProof/>
          <w:lang w:eastAsia="lv-LV"/>
        </w:rPr>
        <w:drawing>
          <wp:inline distT="0" distB="0" distL="0" distR="0" wp14:anchorId="5B07AE06" wp14:editId="50AC0740">
            <wp:extent cx="5274310" cy="3076681"/>
            <wp:effectExtent l="0" t="0" r="2159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EB775A" w14:textId="77777777" w:rsidR="0084517D" w:rsidRPr="00FB08C6" w:rsidRDefault="0084517D" w:rsidP="00FB08C6">
      <w:pPr>
        <w:autoSpaceDE w:val="0"/>
        <w:autoSpaceDN w:val="0"/>
        <w:adjustRightInd w:val="0"/>
        <w:spacing w:after="0" w:line="240" w:lineRule="auto"/>
        <w:jc w:val="center"/>
        <w:rPr>
          <w:rFonts w:ascii="Times New Roman" w:hAnsi="Times New Roman" w:cs="Times New Roman"/>
          <w:sz w:val="24"/>
          <w:szCs w:val="24"/>
        </w:rPr>
      </w:pPr>
    </w:p>
    <w:p w14:paraId="664EB892" w14:textId="77777777" w:rsidR="00FB08C6" w:rsidRDefault="0084517D" w:rsidP="00FB08C6">
      <w:pPr>
        <w:autoSpaceDE w:val="0"/>
        <w:autoSpaceDN w:val="0"/>
        <w:adjustRightInd w:val="0"/>
        <w:spacing w:after="0" w:line="240" w:lineRule="auto"/>
        <w:jc w:val="center"/>
        <w:rPr>
          <w:rFonts w:ascii="Times New Roman" w:hAnsi="Times New Roman" w:cs="Times New Roman"/>
          <w:sz w:val="24"/>
          <w:szCs w:val="24"/>
        </w:rPr>
      </w:pPr>
      <w:r>
        <w:rPr>
          <w:noProof/>
          <w:lang w:eastAsia="lv-LV"/>
        </w:rPr>
        <w:drawing>
          <wp:inline distT="0" distB="0" distL="0" distR="0" wp14:anchorId="729F11BE" wp14:editId="5B788AA7">
            <wp:extent cx="5274310" cy="3076681"/>
            <wp:effectExtent l="0" t="0" r="2159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0BA30F" w14:textId="77777777" w:rsidR="0084517D" w:rsidRDefault="0084517D" w:rsidP="00FB08C6">
      <w:pPr>
        <w:autoSpaceDE w:val="0"/>
        <w:autoSpaceDN w:val="0"/>
        <w:adjustRightInd w:val="0"/>
        <w:spacing w:after="0" w:line="240" w:lineRule="auto"/>
        <w:jc w:val="center"/>
        <w:rPr>
          <w:rFonts w:ascii="Times New Roman" w:hAnsi="Times New Roman" w:cs="Times New Roman"/>
          <w:sz w:val="24"/>
          <w:szCs w:val="24"/>
        </w:rPr>
      </w:pPr>
    </w:p>
    <w:p w14:paraId="5A7B7779" w14:textId="77777777" w:rsidR="0084517D" w:rsidRDefault="0084517D" w:rsidP="00FB08C6">
      <w:pPr>
        <w:autoSpaceDE w:val="0"/>
        <w:autoSpaceDN w:val="0"/>
        <w:adjustRightInd w:val="0"/>
        <w:spacing w:after="0" w:line="240" w:lineRule="auto"/>
        <w:jc w:val="center"/>
        <w:rPr>
          <w:rFonts w:ascii="Times New Roman" w:hAnsi="Times New Roman" w:cs="Times New Roman"/>
          <w:sz w:val="24"/>
          <w:szCs w:val="24"/>
        </w:rPr>
      </w:pPr>
      <w:r>
        <w:rPr>
          <w:noProof/>
          <w:lang w:eastAsia="lv-LV"/>
        </w:rPr>
        <w:lastRenderedPageBreak/>
        <w:drawing>
          <wp:inline distT="0" distB="0" distL="0" distR="0" wp14:anchorId="3A6C0069" wp14:editId="5C588A85">
            <wp:extent cx="5274310" cy="3076681"/>
            <wp:effectExtent l="0" t="0" r="2159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A354EB" w14:textId="77777777" w:rsidR="0084517D" w:rsidRPr="00675567" w:rsidRDefault="0084517D" w:rsidP="00675567">
      <w:pPr>
        <w:autoSpaceDE w:val="0"/>
        <w:autoSpaceDN w:val="0"/>
        <w:adjustRightInd w:val="0"/>
        <w:spacing w:after="0" w:line="240" w:lineRule="auto"/>
        <w:ind w:firstLine="720"/>
        <w:jc w:val="both"/>
        <w:rPr>
          <w:rFonts w:ascii="Times New Roman" w:hAnsi="Times New Roman" w:cs="Times New Roman"/>
          <w:sz w:val="24"/>
          <w:szCs w:val="24"/>
        </w:rPr>
      </w:pPr>
      <w:r w:rsidRPr="00675567">
        <w:rPr>
          <w:rFonts w:ascii="Times New Roman" w:hAnsi="Times New Roman" w:cs="Times New Roman"/>
          <w:sz w:val="24"/>
          <w:szCs w:val="24"/>
        </w:rPr>
        <w:t>Darbaspējas vecums (no)=15, vecums virs darbaspējas (no)=63, mēnesis=03</w:t>
      </w:r>
    </w:p>
    <w:p w14:paraId="0DFD8DCC" w14:textId="77777777" w:rsidR="0084517D" w:rsidRDefault="0084517D" w:rsidP="0084517D">
      <w:pPr>
        <w:jc w:val="both"/>
      </w:pPr>
    </w:p>
    <w:p w14:paraId="53357717" w14:textId="77777777" w:rsidR="0084517D" w:rsidRPr="00675567" w:rsidRDefault="0084517D" w:rsidP="00675567">
      <w:pPr>
        <w:autoSpaceDE w:val="0"/>
        <w:autoSpaceDN w:val="0"/>
        <w:adjustRightInd w:val="0"/>
        <w:spacing w:after="0" w:line="240" w:lineRule="auto"/>
        <w:ind w:firstLine="720"/>
        <w:jc w:val="both"/>
        <w:rPr>
          <w:rFonts w:ascii="Times New Roman" w:hAnsi="Times New Roman" w:cs="Times New Roman"/>
          <w:sz w:val="24"/>
          <w:szCs w:val="24"/>
        </w:rPr>
      </w:pPr>
      <w:r w:rsidRPr="00675567">
        <w:rPr>
          <w:rFonts w:ascii="Times New Roman" w:hAnsi="Times New Roman" w:cs="Times New Roman"/>
          <w:sz w:val="24"/>
          <w:szCs w:val="24"/>
        </w:rPr>
        <w:t>Krasas izmaiņas darbaspējas dzimuma struktūrā laikā no 2010.gada līdz 2018.gadam nav vērojamas. Kopš 2010.gada līdz 2018.gadam saglabājusies tendence ar darbaspējīgo vīriešu pārsvaru, taču līdz ar kopējā iedzīvotāju skaita sarukumu, samazinās arī novada darbaspējīgo iedzīvotāju skaits.</w:t>
      </w:r>
    </w:p>
    <w:p w14:paraId="45269F19" w14:textId="77777777" w:rsidR="0084517D" w:rsidRDefault="0084517D" w:rsidP="0084517D">
      <w:pPr>
        <w:jc w:val="both"/>
      </w:pPr>
      <w:r>
        <w:rPr>
          <w:noProof/>
          <w:lang w:eastAsia="lv-LV"/>
        </w:rPr>
        <w:drawing>
          <wp:inline distT="0" distB="0" distL="0" distR="0" wp14:anchorId="4BC6EA01" wp14:editId="290C1277">
            <wp:extent cx="5495925" cy="32099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B25194" w14:textId="77777777" w:rsidR="0084517D" w:rsidRDefault="0084517D" w:rsidP="0084517D">
      <w:pPr>
        <w:jc w:val="both"/>
      </w:pPr>
    </w:p>
    <w:p w14:paraId="54F09041" w14:textId="77777777" w:rsidR="0084517D" w:rsidRPr="00675567" w:rsidRDefault="0084517D" w:rsidP="00675567">
      <w:pPr>
        <w:autoSpaceDE w:val="0"/>
        <w:autoSpaceDN w:val="0"/>
        <w:adjustRightInd w:val="0"/>
        <w:spacing w:after="0" w:line="240" w:lineRule="auto"/>
        <w:ind w:firstLine="720"/>
        <w:jc w:val="both"/>
        <w:rPr>
          <w:rFonts w:ascii="Times New Roman" w:hAnsi="Times New Roman" w:cs="Times New Roman"/>
          <w:sz w:val="24"/>
          <w:szCs w:val="24"/>
        </w:rPr>
      </w:pPr>
      <w:r w:rsidRPr="00675567">
        <w:rPr>
          <w:rFonts w:ascii="Times New Roman" w:hAnsi="Times New Roman" w:cs="Times New Roman"/>
          <w:sz w:val="24"/>
          <w:szCs w:val="24"/>
        </w:rPr>
        <w:t>Analizējot iedzīvotāju skaitu pa vecuma grupām pēc PMLP datiem, uz 2018.gada 1.janvāri iedzīvotāju vecuma grupu sadalījums bija šāds:</w:t>
      </w:r>
    </w:p>
    <w:p w14:paraId="53CDE491" w14:textId="77777777" w:rsidR="00404B80" w:rsidRPr="00675567" w:rsidRDefault="00404B80" w:rsidP="00675567">
      <w:pPr>
        <w:autoSpaceDE w:val="0"/>
        <w:autoSpaceDN w:val="0"/>
        <w:adjustRightInd w:val="0"/>
        <w:spacing w:after="0" w:line="240" w:lineRule="auto"/>
        <w:ind w:firstLine="720"/>
        <w:jc w:val="both"/>
        <w:rPr>
          <w:rFonts w:ascii="Times New Roman" w:hAnsi="Times New Roman" w:cs="Times New Roman"/>
          <w:sz w:val="24"/>
          <w:szCs w:val="24"/>
        </w:rPr>
      </w:pPr>
      <w:r w:rsidRPr="00675567">
        <w:rPr>
          <w:rFonts w:ascii="Times New Roman" w:hAnsi="Times New Roman" w:cs="Times New Roman"/>
          <w:sz w:val="24"/>
          <w:szCs w:val="24"/>
        </w:rPr>
        <w:t>Pēc Latvijas pašvaldību savienības informācijas BLIS pieejamiem datiem rādītāji uz 2018.gada sākumu Salacgrīvas novadā ir šādi:</w:t>
      </w:r>
    </w:p>
    <w:p w14:paraId="2BDAE043" w14:textId="5AD1BBB6" w:rsidR="0084517D" w:rsidRDefault="00404B80" w:rsidP="00FB08C6">
      <w:pPr>
        <w:autoSpaceDE w:val="0"/>
        <w:autoSpaceDN w:val="0"/>
        <w:adjustRightInd w:val="0"/>
        <w:spacing w:after="0" w:line="240" w:lineRule="auto"/>
        <w:jc w:val="center"/>
        <w:rPr>
          <w:rFonts w:ascii="Times New Roman" w:hAnsi="Times New Roman" w:cs="Times New Roman"/>
          <w:sz w:val="24"/>
          <w:szCs w:val="24"/>
        </w:rPr>
      </w:pPr>
      <w:r>
        <w:rPr>
          <w:noProof/>
          <w:lang w:eastAsia="lv-LV"/>
        </w:rPr>
        <w:lastRenderedPageBreak/>
        <w:drawing>
          <wp:inline distT="0" distB="0" distL="0" distR="0" wp14:anchorId="3B1B1B78" wp14:editId="19F9A915">
            <wp:extent cx="4067175" cy="27432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7C9656" w14:textId="46DF4F2F" w:rsidR="00404B80" w:rsidRDefault="00404B80" w:rsidP="00FB08C6">
      <w:pPr>
        <w:autoSpaceDE w:val="0"/>
        <w:autoSpaceDN w:val="0"/>
        <w:adjustRightInd w:val="0"/>
        <w:spacing w:after="0" w:line="240" w:lineRule="auto"/>
        <w:jc w:val="center"/>
        <w:rPr>
          <w:rFonts w:ascii="Times New Roman" w:hAnsi="Times New Roman" w:cs="Times New Roman"/>
          <w:sz w:val="24"/>
          <w:szCs w:val="24"/>
        </w:rPr>
      </w:pPr>
      <w:r>
        <w:rPr>
          <w:noProof/>
          <w:lang w:eastAsia="lv-LV"/>
        </w:rPr>
        <w:drawing>
          <wp:inline distT="0" distB="0" distL="0" distR="0" wp14:anchorId="7FEDA313" wp14:editId="19BEB1E7">
            <wp:extent cx="5274310" cy="3076681"/>
            <wp:effectExtent l="0" t="0" r="2159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DA2B3B" w14:textId="5B87EB58" w:rsidR="00FB08C6" w:rsidRPr="00FB08C6" w:rsidRDefault="0078531E" w:rsidP="00FB08C6">
      <w:pPr>
        <w:autoSpaceDE w:val="0"/>
        <w:autoSpaceDN w:val="0"/>
        <w:adjustRightInd w:val="0"/>
        <w:spacing w:after="0" w:line="240" w:lineRule="auto"/>
        <w:jc w:val="center"/>
        <w:rPr>
          <w:rFonts w:ascii="Times New Roman" w:hAnsi="Times New Roman" w:cs="Times New Roman"/>
          <w:sz w:val="24"/>
          <w:szCs w:val="24"/>
        </w:rPr>
      </w:pPr>
      <w:r>
        <w:rPr>
          <w:noProof/>
          <w:lang w:eastAsia="lv-LV"/>
        </w:rPr>
        <w:drawing>
          <wp:inline distT="0" distB="0" distL="0" distR="0" wp14:anchorId="085C8057" wp14:editId="60688E8C">
            <wp:extent cx="5179060" cy="2867025"/>
            <wp:effectExtent l="0" t="0" r="254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4D30FB" w14:textId="77777777" w:rsidR="001D1B47" w:rsidRDefault="001D1B47" w:rsidP="00FB08C6">
      <w:pPr>
        <w:autoSpaceDE w:val="0"/>
        <w:autoSpaceDN w:val="0"/>
        <w:adjustRightInd w:val="0"/>
        <w:spacing w:after="0" w:line="240" w:lineRule="auto"/>
        <w:jc w:val="center"/>
        <w:rPr>
          <w:rFonts w:ascii="Times New Roman" w:hAnsi="Times New Roman" w:cs="Times New Roman"/>
          <w:b/>
          <w:sz w:val="24"/>
          <w:szCs w:val="24"/>
        </w:rPr>
        <w:sectPr w:rsidR="001D1B47" w:rsidSect="00550D84">
          <w:footerReference w:type="default" r:id="rId15"/>
          <w:pgSz w:w="11906" w:h="16838"/>
          <w:pgMar w:top="1440" w:right="991" w:bottom="1276" w:left="1701" w:header="708" w:footer="708" w:gutter="0"/>
          <w:cols w:space="708"/>
          <w:docGrid w:linePitch="360"/>
        </w:sectPr>
      </w:pPr>
    </w:p>
    <w:p w14:paraId="1E90882E" w14:textId="28EA350D" w:rsidR="00B4274D"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lastRenderedPageBreak/>
        <w:t>2019.gada budžeta -finanšu informācija</w:t>
      </w:r>
      <w:bookmarkStart w:id="8" w:name="_GoBack"/>
      <w:bookmarkEnd w:id="8"/>
    </w:p>
    <w:p w14:paraId="74B975A0" w14:textId="79FDF442" w:rsidR="00CD3D80" w:rsidRPr="00B4274D" w:rsidRDefault="00CD3D80" w:rsidP="00CD3D80">
      <w:pPr>
        <w:autoSpaceDE w:val="0"/>
        <w:autoSpaceDN w:val="0"/>
        <w:adjustRightInd w:val="0"/>
        <w:spacing w:after="0" w:line="240" w:lineRule="auto"/>
        <w:jc w:val="center"/>
        <w:rPr>
          <w:rFonts w:ascii="Times New Roman" w:eastAsia="Calibri" w:hAnsi="Times New Roman" w:cs="Times New Roman"/>
          <w:sz w:val="24"/>
          <w:szCs w:val="24"/>
        </w:rPr>
      </w:pPr>
      <w:r w:rsidRPr="00B4274D">
        <w:rPr>
          <w:rFonts w:ascii="Times New Roman" w:eastAsia="Calibri" w:hAnsi="Times New Roman" w:cs="Times New Roman"/>
          <w:sz w:val="24"/>
          <w:szCs w:val="24"/>
        </w:rPr>
        <w:t xml:space="preserve"> (I.Lazdi</w:t>
      </w:r>
      <w:r w:rsidR="00A5553B" w:rsidRPr="00B4274D">
        <w:rPr>
          <w:rFonts w:ascii="Times New Roman" w:eastAsia="Calibri" w:hAnsi="Times New Roman" w:cs="Times New Roman"/>
          <w:sz w:val="24"/>
          <w:szCs w:val="24"/>
        </w:rPr>
        <w:t>ņ</w:t>
      </w:r>
      <w:r w:rsidRPr="00B4274D">
        <w:rPr>
          <w:rFonts w:ascii="Times New Roman" w:eastAsia="Calibri" w:hAnsi="Times New Roman" w:cs="Times New Roman"/>
          <w:sz w:val="24"/>
          <w:szCs w:val="24"/>
        </w:rPr>
        <w:t>a)</w:t>
      </w:r>
    </w:p>
    <w:p w14:paraId="505FFA29" w14:textId="6AD81F74" w:rsidR="00CD3D80" w:rsidRP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r w:rsidRPr="00CD3D80">
        <w:rPr>
          <w:rFonts w:ascii="Times New Roman" w:eastAsia="Calibri" w:hAnsi="Times New Roman" w:cs="Times New Roman"/>
          <w:sz w:val="24"/>
          <w:szCs w:val="24"/>
        </w:rPr>
        <w:tab/>
        <w:t>Pašvaldības, veidojot savus budžetus, ļoti lielā mērā ir atkarīgas no valsts nodokļu politikas, kā arī no veiktajiem aprēķiniem pašvaldību finanšu izlīdzināšanai. No Finanšu ministrijas trim sagatavotiem, iespējamiem finanšu izlīdzināšanas aprēķiniem Salacgrīvas novada pašvaldība ievērojot piesardzības principu, sākotnējam budžetam izvēlējusies piemērot pašvaldību finanšu izlīdzināšanas provizorisko aprēķin</w:t>
      </w:r>
      <w:r w:rsidR="00A70735">
        <w:rPr>
          <w:rFonts w:ascii="Times New Roman" w:eastAsia="Calibri" w:hAnsi="Times New Roman" w:cs="Times New Roman"/>
          <w:sz w:val="24"/>
          <w:szCs w:val="24"/>
        </w:rPr>
        <w:t>u</w:t>
      </w:r>
      <w:r w:rsidRPr="00CD3D80">
        <w:rPr>
          <w:rFonts w:ascii="Times New Roman" w:eastAsia="Calibri" w:hAnsi="Times New Roman" w:cs="Times New Roman"/>
          <w:sz w:val="24"/>
          <w:szCs w:val="24"/>
        </w:rPr>
        <w:t xml:space="preserve"> 2019.gadam (ar speciālo dotāciju 2018.gada līmenī). Pašvaldība pēc 2019.gada valsts budžeta pieņemšanas veiks grozījumus pašvaldības budžetā. Finanšu izlīdzināšanas aprēķins, kurš nodrošina, lai pašvaldību nodokļu ieņēmumi veidotu 19,6% no kopbudžeta nodokļu ieņēmumiem ir labvēlīgāks un dos iespēju pašvaldībai realizēt vairāk investīciju projektus.</w:t>
      </w:r>
    </w:p>
    <w:p w14:paraId="0D0CE258" w14:textId="77777777" w:rsidR="00CD3D80" w:rsidRP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r w:rsidRPr="00CD3D80">
        <w:rPr>
          <w:rFonts w:ascii="Times New Roman" w:eastAsia="Calibri" w:hAnsi="Times New Roman" w:cs="Times New Roman"/>
          <w:sz w:val="24"/>
          <w:szCs w:val="24"/>
        </w:rPr>
        <w:tab/>
        <w:t>Salacgrīvas novada pašvaldības budžets 2019.gadam sastāv no pamatbudžeta un speciālā budžets, ko veido ieņēmumu, izdevumu un finansēšanas daļas. Pašvaldība ir ņēmusi vērā visu nozaru intereses un centusies sabalansēt pieejamos finanšu līdzekļus tā, lai nodrošinātu uzlabojumus sabiedrībai svarīgās jomās.</w:t>
      </w:r>
    </w:p>
    <w:p w14:paraId="42540F94" w14:textId="77777777" w:rsidR="00CD3D80" w:rsidRP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p>
    <w:p w14:paraId="2DE670CA"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Salacgrīvas novada kopbudžeta struktūra</w:t>
      </w:r>
    </w:p>
    <w:p w14:paraId="7C81CEEB" w14:textId="49AD5A5E" w:rsidR="00CD3D80" w:rsidRDefault="00CD3D80" w:rsidP="00CD3D80">
      <w:pPr>
        <w:autoSpaceDE w:val="0"/>
        <w:autoSpaceDN w:val="0"/>
        <w:adjustRightInd w:val="0"/>
        <w:spacing w:after="0" w:line="240" w:lineRule="auto"/>
        <w:jc w:val="both"/>
        <w:rPr>
          <w:rFonts w:ascii="Times New Roman" w:eastAsia="Calibri" w:hAnsi="Times New Roman" w:cs="Times New Roman"/>
          <w:sz w:val="24"/>
          <w:szCs w:val="24"/>
        </w:rPr>
      </w:pPr>
      <w:r w:rsidRPr="00CD3D80">
        <w:rPr>
          <w:rFonts w:ascii="Calibri" w:eastAsia="Calibri" w:hAnsi="Calibri" w:cs="Times New Roman"/>
          <w:noProof/>
          <w:lang w:eastAsia="lv-LV"/>
        </w:rPr>
        <w:drawing>
          <wp:inline distT="0" distB="0" distL="0" distR="0" wp14:anchorId="1285ADD3" wp14:editId="69B12DFC">
            <wp:extent cx="5469890" cy="2723515"/>
            <wp:effectExtent l="95250" t="57150" r="92710" b="114935"/>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A70A19E" w14:textId="00B1E7ED" w:rsidR="008D6182" w:rsidRPr="00CD3D80" w:rsidRDefault="008D6182" w:rsidP="00CD3D80">
      <w:pPr>
        <w:autoSpaceDE w:val="0"/>
        <w:autoSpaceDN w:val="0"/>
        <w:adjustRightInd w:val="0"/>
        <w:spacing w:after="0" w:line="240" w:lineRule="auto"/>
        <w:jc w:val="both"/>
        <w:rPr>
          <w:rFonts w:ascii="Times New Roman" w:eastAsia="Calibri" w:hAnsi="Times New Roman" w:cs="Times New Roman"/>
          <w:sz w:val="24"/>
          <w:szCs w:val="24"/>
        </w:rPr>
      </w:pPr>
    </w:p>
    <w:p w14:paraId="6D2AAE36" w14:textId="10DE3BED" w:rsidR="00CD3D80" w:rsidRDefault="00D06C00" w:rsidP="00CD3D80">
      <w:pPr>
        <w:autoSpaceDE w:val="0"/>
        <w:autoSpaceDN w:val="0"/>
        <w:adjustRightInd w:val="0"/>
        <w:spacing w:after="0" w:line="240" w:lineRule="auto"/>
        <w:jc w:val="center"/>
        <w:rPr>
          <w:rFonts w:ascii="Times New Roman" w:eastAsia="Calibri" w:hAnsi="Times New Roman" w:cs="Times New Roman"/>
          <w:color w:val="FFFFFF"/>
          <w:sz w:val="24"/>
          <w:szCs w:val="24"/>
        </w:rPr>
      </w:pPr>
      <w:r w:rsidRPr="00D06C00">
        <w:rPr>
          <w:noProof/>
          <w:lang w:eastAsia="lv-LV"/>
        </w:rPr>
        <w:drawing>
          <wp:inline distT="0" distB="0" distL="0" distR="0" wp14:anchorId="31A9F381" wp14:editId="1AECACAD">
            <wp:extent cx="5639152" cy="271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9152" cy="2714625"/>
                    </a:xfrm>
                    <a:prstGeom prst="rect">
                      <a:avLst/>
                    </a:prstGeom>
                    <a:noFill/>
                    <a:ln>
                      <a:noFill/>
                    </a:ln>
                  </pic:spPr>
                </pic:pic>
              </a:graphicData>
            </a:graphic>
          </wp:inline>
        </w:drawing>
      </w:r>
    </w:p>
    <w:p w14:paraId="38AD9BDC" w14:textId="77777777" w:rsidR="00D06C00" w:rsidRPr="00CD3D80" w:rsidRDefault="00D06C00" w:rsidP="00CD3D80">
      <w:pPr>
        <w:autoSpaceDE w:val="0"/>
        <w:autoSpaceDN w:val="0"/>
        <w:adjustRightInd w:val="0"/>
        <w:spacing w:after="0" w:line="240" w:lineRule="auto"/>
        <w:jc w:val="center"/>
        <w:rPr>
          <w:rFonts w:ascii="Times New Roman" w:eastAsia="Calibri" w:hAnsi="Times New Roman" w:cs="Times New Roman"/>
          <w:color w:val="FFFFFF"/>
          <w:sz w:val="24"/>
          <w:szCs w:val="24"/>
        </w:rPr>
      </w:pPr>
    </w:p>
    <w:p w14:paraId="196A4EA5" w14:textId="3293CA52"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sz w:val="24"/>
          <w:szCs w:val="24"/>
        </w:rPr>
      </w:pPr>
      <w:r w:rsidRPr="00CD3D80">
        <w:rPr>
          <w:rFonts w:ascii="Times New Roman" w:eastAsia="Calibri" w:hAnsi="Times New Roman" w:cs="Times New Roman"/>
          <w:noProof/>
          <w:sz w:val="24"/>
          <w:szCs w:val="24"/>
          <w:lang w:eastAsia="lv-LV"/>
        </w:rPr>
        <w:drawing>
          <wp:inline distT="0" distB="0" distL="0" distR="0" wp14:anchorId="6376A293" wp14:editId="61D48F8C">
            <wp:extent cx="5383530" cy="321310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3213100"/>
                    </a:xfrm>
                    <a:prstGeom prst="rect">
                      <a:avLst/>
                    </a:prstGeom>
                    <a:noFill/>
                  </pic:spPr>
                </pic:pic>
              </a:graphicData>
            </a:graphic>
          </wp:inline>
        </w:drawing>
      </w:r>
    </w:p>
    <w:p w14:paraId="1E57E1B1"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sz w:val="24"/>
          <w:szCs w:val="24"/>
        </w:rPr>
      </w:pPr>
    </w:p>
    <w:p w14:paraId="2C79FD4C"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Pamatbudžets</w:t>
      </w:r>
    </w:p>
    <w:p w14:paraId="5EF716B6"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Pamatbudžeta ieņēmumi 9’818’602 euro</w:t>
      </w:r>
    </w:p>
    <w:p w14:paraId="482F369C"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564EC720" w14:textId="7A5B8DB1"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noProof/>
          <w:sz w:val="24"/>
          <w:szCs w:val="24"/>
          <w:lang w:eastAsia="lv-LV"/>
        </w:rPr>
        <w:drawing>
          <wp:inline distT="0" distB="0" distL="0" distR="0" wp14:anchorId="46665E10" wp14:editId="2F696BDB">
            <wp:extent cx="5850255" cy="3822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0255" cy="3822700"/>
                    </a:xfrm>
                    <a:prstGeom prst="rect">
                      <a:avLst/>
                    </a:prstGeom>
                    <a:noFill/>
                    <a:ln>
                      <a:noFill/>
                    </a:ln>
                  </pic:spPr>
                </pic:pic>
              </a:graphicData>
            </a:graphic>
          </wp:inline>
        </w:drawing>
      </w:r>
    </w:p>
    <w:p w14:paraId="273A0944"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78824C18"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39AE1F1E"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67EC990A"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7AB7F7FC"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7EB17933"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lastRenderedPageBreak/>
        <w:t>Pamatbudžeta ieņēmumu salīdzinājums ar 2018.gada plānu</w:t>
      </w:r>
    </w:p>
    <w:p w14:paraId="7983A710" w14:textId="1FB03879"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noProof/>
          <w:lang w:eastAsia="lv-LV"/>
        </w:rPr>
        <w:drawing>
          <wp:inline distT="0" distB="0" distL="0" distR="0" wp14:anchorId="60337529" wp14:editId="764712FC">
            <wp:extent cx="5610225" cy="2895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895600"/>
                    </a:xfrm>
                    <a:prstGeom prst="rect">
                      <a:avLst/>
                    </a:prstGeom>
                    <a:noFill/>
                    <a:ln>
                      <a:noFill/>
                    </a:ln>
                  </pic:spPr>
                </pic:pic>
              </a:graphicData>
            </a:graphic>
          </wp:inline>
        </w:drawing>
      </w:r>
    </w:p>
    <w:p w14:paraId="4AAD15A9"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6D24D02E" w14:textId="262C28F1"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3853621B" w14:textId="14FA2811" w:rsidR="00CD3D80" w:rsidRPr="00CD3D80" w:rsidRDefault="0049422E" w:rsidP="00CD3D80">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095CBE21" wp14:editId="4715BA4D">
            <wp:extent cx="6067425" cy="39694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4202" cy="3987015"/>
                    </a:xfrm>
                    <a:prstGeom prst="rect">
                      <a:avLst/>
                    </a:prstGeom>
                    <a:noFill/>
                  </pic:spPr>
                </pic:pic>
              </a:graphicData>
            </a:graphic>
          </wp:inline>
        </w:drawing>
      </w:r>
    </w:p>
    <w:p w14:paraId="71E78723"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Svarīgākās no pamatbudžeta ieņēmumu pozīcijām:</w:t>
      </w:r>
    </w:p>
    <w:p w14:paraId="5A38480B"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Iedzīvotāju ienākuma nodokļa prognoze 4’152’389 euro</w:t>
      </w:r>
    </w:p>
    <w:p w14:paraId="3C30B16D"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Ieņēmumi no izlīdzināšanas fonda 926’132 euro</w:t>
      </w:r>
    </w:p>
    <w:p w14:paraId="33137DDD"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Nekustamā īpašuma nodokļa prognoze kopā ar soda naudām par nekustamā īpašuma nodokļa termiņu kavējumiem un nodokli par nekoptām lauksaimniecības zemēm 2018.gadā 578’247 euro</w:t>
      </w:r>
    </w:p>
    <w:p w14:paraId="0DD043E8"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Mērķdotācija pamata un vispārējās izglītības pedagogiem 8 mēnešiem 599’136  euro</w:t>
      </w:r>
    </w:p>
    <w:p w14:paraId="09C9CCBD"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Mērķdotācija interešu izglītības pedagogiem 8 mēnešiem 28’472  euro</w:t>
      </w:r>
    </w:p>
    <w:p w14:paraId="1DC01DA5"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lastRenderedPageBreak/>
        <w:t>Mērķdotācija piecgadīgo un sešgadīgo apmācībai 8 mēnešiem 68’136 euro</w:t>
      </w:r>
    </w:p>
    <w:p w14:paraId="6E3DF225"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Mūzikas skolas pedagogiem 8 mēnešiem 81’054 euro</w:t>
      </w:r>
    </w:p>
    <w:p w14:paraId="597F5FEA"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Mākslas skolas pedagogiem 8 mēnešiem 19’216 euro</w:t>
      </w:r>
    </w:p>
    <w:p w14:paraId="068F7232" w14:textId="77777777" w:rsidR="00CD3D80" w:rsidRPr="00CD3D80" w:rsidRDefault="00CD3D80" w:rsidP="00CD3D80">
      <w:pPr>
        <w:numPr>
          <w:ilvl w:val="0"/>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1.-4. klašu audzēkņu ēdināšanai:</w:t>
      </w:r>
    </w:p>
    <w:p w14:paraId="481CA801" w14:textId="77777777" w:rsidR="00CD3D80" w:rsidRPr="00CD3D80" w:rsidRDefault="00CD3D80" w:rsidP="00CD3D80">
      <w:pPr>
        <w:numPr>
          <w:ilvl w:val="1"/>
          <w:numId w:val="7"/>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 7’877 euro</w:t>
      </w:r>
    </w:p>
    <w:p w14:paraId="0E65FEEA" w14:textId="77777777" w:rsidR="00CD3D80" w:rsidRPr="00CD3D80" w:rsidRDefault="00CD3D80" w:rsidP="00CD3D80">
      <w:pPr>
        <w:numPr>
          <w:ilvl w:val="1"/>
          <w:numId w:val="5"/>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Kr. Valdemāra Ainažu pamatskolai 9’077 euro</w:t>
      </w:r>
    </w:p>
    <w:p w14:paraId="79F11498" w14:textId="77777777" w:rsidR="00CD3D80" w:rsidRPr="00CD3D80" w:rsidRDefault="00CD3D80" w:rsidP="00CD3D80">
      <w:pPr>
        <w:numPr>
          <w:ilvl w:val="1"/>
          <w:numId w:val="5"/>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Salacgrīvas vidusskolai 37’966 euro</w:t>
      </w:r>
    </w:p>
    <w:p w14:paraId="30B01743"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par personām, kuras ievietotas ilgstošas sociālās aprūpes institūcijās līdz 1998.gada 1.janvārim 4’270 euro</w:t>
      </w:r>
    </w:p>
    <w:p w14:paraId="6E792B8C"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finansējums Korģenes FV 10’176  euro</w:t>
      </w:r>
    </w:p>
    <w:p w14:paraId="39887B44"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Maksas pakalpojumi un citi pašu ieņēmumi 337’104 euro</w:t>
      </w:r>
    </w:p>
    <w:p w14:paraId="43EDBEA3"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Plānotie ieņēmumi projektu realizēšanai 2’959’350 euro</w:t>
      </w:r>
    </w:p>
    <w:p w14:paraId="12B75260"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1DDFFA94"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349CC11B"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7CA8EB44"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Pamatbudžeta izdevumi 12’084’845euro</w:t>
      </w:r>
    </w:p>
    <w:p w14:paraId="77569453"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4F852179" w14:textId="78977AB8"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noProof/>
          <w:sz w:val="24"/>
          <w:szCs w:val="24"/>
          <w:lang w:eastAsia="lv-LV"/>
        </w:rPr>
        <w:drawing>
          <wp:inline distT="0" distB="0" distL="0" distR="0" wp14:anchorId="15C4475D" wp14:editId="3ED47BA0">
            <wp:extent cx="5850255" cy="38258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255" cy="3825875"/>
                    </a:xfrm>
                    <a:prstGeom prst="rect">
                      <a:avLst/>
                    </a:prstGeom>
                    <a:noFill/>
                    <a:ln>
                      <a:noFill/>
                    </a:ln>
                  </pic:spPr>
                </pic:pic>
              </a:graphicData>
            </a:graphic>
          </wp:inline>
        </w:drawing>
      </w:r>
    </w:p>
    <w:p w14:paraId="4161F965"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66A97ABF"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bookmarkStart w:id="9" w:name="_Hlk532812123"/>
    </w:p>
    <w:p w14:paraId="0ED6D02D"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61FCF934"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40F13C32"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019F311F" w14:textId="07BF9E42" w:rsidR="00CD3D80" w:rsidRPr="00CD3D80" w:rsidRDefault="0049422E" w:rsidP="00CD3D80">
      <w:pPr>
        <w:rPr>
          <w:rFonts w:ascii="Times New Roman" w:eastAsia="Calibri" w:hAnsi="Times New Roman" w:cs="Times New Roman"/>
          <w:b/>
          <w:sz w:val="24"/>
          <w:szCs w:val="24"/>
        </w:rPr>
      </w:pPr>
      <w:r>
        <w:rPr>
          <w:rFonts w:ascii="Times New Roman" w:eastAsia="Calibri" w:hAnsi="Times New Roman" w:cs="Times New Roman"/>
          <w:b/>
          <w:noProof/>
          <w:sz w:val="24"/>
          <w:szCs w:val="24"/>
          <w:lang w:eastAsia="lv-LV"/>
        </w:rPr>
        <w:lastRenderedPageBreak/>
        <w:drawing>
          <wp:inline distT="0" distB="0" distL="0" distR="0" wp14:anchorId="07CAE0B0" wp14:editId="670F46C4">
            <wp:extent cx="5641340" cy="369074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1081" cy="3703655"/>
                    </a:xfrm>
                    <a:prstGeom prst="rect">
                      <a:avLst/>
                    </a:prstGeom>
                    <a:noFill/>
                  </pic:spPr>
                </pic:pic>
              </a:graphicData>
            </a:graphic>
          </wp:inline>
        </w:drawing>
      </w:r>
    </w:p>
    <w:p w14:paraId="532C1567"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p>
    <w:p w14:paraId="5D3DF186"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Pamatbudžeta izdevumu salīdzinājums ar 2018.gada plānu atbilstoši funkcionālajām kategorijām</w:t>
      </w:r>
    </w:p>
    <w:bookmarkEnd w:id="9"/>
    <w:p w14:paraId="2C679692" w14:textId="57ECEAFC"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Calibri" w:eastAsia="Calibri" w:hAnsi="Calibri" w:cs="Times New Roman"/>
          <w:noProof/>
          <w:lang w:eastAsia="lv-LV"/>
        </w:rPr>
        <w:drawing>
          <wp:inline distT="0" distB="0" distL="0" distR="0" wp14:anchorId="649EA26B" wp14:editId="1BB3B329">
            <wp:extent cx="5610225" cy="3076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p>
    <w:p w14:paraId="1D08204E"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5BCC0BD4"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3DEEA666" w14:textId="0B28526E"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noProof/>
          <w:sz w:val="24"/>
          <w:szCs w:val="24"/>
          <w:lang w:eastAsia="lv-LV"/>
        </w:rPr>
        <w:lastRenderedPageBreak/>
        <w:drawing>
          <wp:inline distT="0" distB="0" distL="0" distR="0" wp14:anchorId="34C9CE3F" wp14:editId="5FDBB7D5">
            <wp:extent cx="5850255" cy="3826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0255" cy="3826510"/>
                    </a:xfrm>
                    <a:prstGeom prst="rect">
                      <a:avLst/>
                    </a:prstGeom>
                    <a:noFill/>
                    <a:ln>
                      <a:noFill/>
                    </a:ln>
                  </pic:spPr>
                </pic:pic>
              </a:graphicData>
            </a:graphic>
          </wp:inline>
        </w:drawing>
      </w:r>
    </w:p>
    <w:p w14:paraId="07725D7E"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4979545C"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Pamatbudžeta izdevumu salīdzinājums ar 2018.gada plānu atbilstoši ekonomiskajām kategorijām</w:t>
      </w:r>
    </w:p>
    <w:p w14:paraId="4EA61FFE" w14:textId="7B08C6AE"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Calibri" w:eastAsia="Calibri" w:hAnsi="Calibri" w:cs="Times New Roman"/>
          <w:noProof/>
          <w:lang w:eastAsia="lv-LV"/>
        </w:rPr>
        <w:drawing>
          <wp:inline distT="0" distB="0" distL="0" distR="0" wp14:anchorId="3CFA0587" wp14:editId="00D15DD1">
            <wp:extent cx="5610225" cy="1990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a:noFill/>
                    </a:ln>
                  </pic:spPr>
                </pic:pic>
              </a:graphicData>
            </a:graphic>
          </wp:inline>
        </w:drawing>
      </w:r>
    </w:p>
    <w:p w14:paraId="5626338E"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tbl>
      <w:tblPr>
        <w:tblW w:w="9140" w:type="dxa"/>
        <w:tblInd w:w="108" w:type="dxa"/>
        <w:tblLook w:val="04A0" w:firstRow="1" w:lastRow="0" w:firstColumn="1" w:lastColumn="0" w:noHBand="0" w:noVBand="1"/>
      </w:tblPr>
      <w:tblGrid>
        <w:gridCol w:w="3950"/>
        <w:gridCol w:w="1380"/>
        <w:gridCol w:w="1380"/>
        <w:gridCol w:w="1180"/>
        <w:gridCol w:w="1250"/>
      </w:tblGrid>
      <w:tr w:rsidR="00CD3D80" w:rsidRPr="00CD3D80" w14:paraId="6E66F43D" w14:textId="77777777" w:rsidTr="00A5553B">
        <w:trPr>
          <w:trHeight w:val="315"/>
        </w:trPr>
        <w:tc>
          <w:tcPr>
            <w:tcW w:w="9140" w:type="dxa"/>
            <w:gridSpan w:val="5"/>
            <w:tcBorders>
              <w:top w:val="nil"/>
              <w:left w:val="nil"/>
              <w:bottom w:val="single" w:sz="4" w:space="0" w:color="auto"/>
              <w:right w:val="nil"/>
            </w:tcBorders>
            <w:shd w:val="clear" w:color="auto" w:fill="auto"/>
            <w:hideMark/>
          </w:tcPr>
          <w:p w14:paraId="1294B817" w14:textId="77777777" w:rsidR="00CD3D80" w:rsidRPr="00CD3D80" w:rsidRDefault="00CD3D80" w:rsidP="00CD3D80">
            <w:pPr>
              <w:spacing w:after="0" w:line="240" w:lineRule="auto"/>
              <w:jc w:val="center"/>
              <w:rPr>
                <w:rFonts w:ascii="Times New Roman" w:eastAsia="Times New Roman" w:hAnsi="Times New Roman" w:cs="Times New Roman"/>
                <w:b/>
                <w:bCs/>
                <w:sz w:val="24"/>
                <w:szCs w:val="24"/>
                <w:lang w:eastAsia="lv-LV"/>
              </w:rPr>
            </w:pPr>
            <w:r w:rsidRPr="00CD3D80">
              <w:rPr>
                <w:rFonts w:ascii="Times New Roman" w:eastAsia="Times New Roman" w:hAnsi="Times New Roman" w:cs="Times New Roman"/>
                <w:b/>
                <w:bCs/>
                <w:sz w:val="24"/>
                <w:szCs w:val="24"/>
                <w:lang w:eastAsia="lv-LV"/>
              </w:rPr>
              <w:t>Plānotie projekti 2019.gadā</w:t>
            </w:r>
          </w:p>
        </w:tc>
      </w:tr>
      <w:tr w:rsidR="00CD3D80" w:rsidRPr="00CD3D80" w14:paraId="323C4293" w14:textId="77777777" w:rsidTr="00A5553B">
        <w:trPr>
          <w:trHeight w:val="765"/>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4B69A"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Projekts</w:t>
            </w:r>
          </w:p>
        </w:tc>
        <w:tc>
          <w:tcPr>
            <w:tcW w:w="1380" w:type="dxa"/>
            <w:tcBorders>
              <w:top w:val="nil"/>
              <w:left w:val="nil"/>
              <w:bottom w:val="single" w:sz="4" w:space="0" w:color="auto"/>
              <w:right w:val="single" w:sz="4" w:space="0" w:color="auto"/>
            </w:tcBorders>
            <w:shd w:val="clear" w:color="000000" w:fill="FFFFFF"/>
            <w:vAlign w:val="center"/>
            <w:hideMark/>
          </w:tcPr>
          <w:p w14:paraId="75CE2841"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Plānotie ieņēmumi</w:t>
            </w:r>
          </w:p>
        </w:tc>
        <w:tc>
          <w:tcPr>
            <w:tcW w:w="1380" w:type="dxa"/>
            <w:tcBorders>
              <w:top w:val="nil"/>
              <w:left w:val="nil"/>
              <w:bottom w:val="single" w:sz="4" w:space="0" w:color="auto"/>
              <w:right w:val="single" w:sz="4" w:space="0" w:color="auto"/>
            </w:tcBorders>
            <w:shd w:val="clear" w:color="000000" w:fill="FFFFFF"/>
            <w:vAlign w:val="center"/>
            <w:hideMark/>
          </w:tcPr>
          <w:p w14:paraId="00EB3EA0"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Plānotie izdevumi</w:t>
            </w:r>
          </w:p>
        </w:tc>
        <w:tc>
          <w:tcPr>
            <w:tcW w:w="1180" w:type="dxa"/>
            <w:tcBorders>
              <w:top w:val="nil"/>
              <w:left w:val="nil"/>
              <w:bottom w:val="single" w:sz="4" w:space="0" w:color="auto"/>
              <w:right w:val="single" w:sz="4" w:space="0" w:color="auto"/>
            </w:tcBorders>
            <w:shd w:val="clear" w:color="000000" w:fill="FFFFFF"/>
            <w:vAlign w:val="center"/>
            <w:hideMark/>
          </w:tcPr>
          <w:p w14:paraId="5BCE4116"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Kredīta līdzekļi</w:t>
            </w:r>
          </w:p>
        </w:tc>
        <w:tc>
          <w:tcPr>
            <w:tcW w:w="1250" w:type="dxa"/>
            <w:tcBorders>
              <w:top w:val="nil"/>
              <w:left w:val="nil"/>
              <w:bottom w:val="single" w:sz="4" w:space="0" w:color="auto"/>
              <w:right w:val="single" w:sz="4" w:space="0" w:color="auto"/>
            </w:tcBorders>
            <w:shd w:val="clear" w:color="000000" w:fill="FFFFFF"/>
            <w:vAlign w:val="center"/>
            <w:hideMark/>
          </w:tcPr>
          <w:p w14:paraId="12A3D558"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Pašvaldības finansējums</w:t>
            </w:r>
          </w:p>
        </w:tc>
      </w:tr>
      <w:tr w:rsidR="00CD3D80" w:rsidRPr="00CD3D80" w14:paraId="6D859384" w14:textId="77777777" w:rsidTr="00A5553B">
        <w:trPr>
          <w:trHeight w:val="600"/>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2BE52"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ERAF ceļi uzņēmējdarbības attīstībai Sēņu iela</w:t>
            </w:r>
          </w:p>
        </w:tc>
        <w:tc>
          <w:tcPr>
            <w:tcW w:w="1380" w:type="dxa"/>
            <w:tcBorders>
              <w:top w:val="nil"/>
              <w:left w:val="nil"/>
              <w:bottom w:val="single" w:sz="4" w:space="0" w:color="auto"/>
              <w:right w:val="single" w:sz="4" w:space="0" w:color="auto"/>
            </w:tcBorders>
            <w:shd w:val="clear" w:color="000000" w:fill="FFFFFF"/>
            <w:noWrap/>
            <w:vAlign w:val="center"/>
            <w:hideMark/>
          </w:tcPr>
          <w:p w14:paraId="4BDC1D1D"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78 705 € </w:t>
            </w:r>
          </w:p>
        </w:tc>
        <w:tc>
          <w:tcPr>
            <w:tcW w:w="1380" w:type="dxa"/>
            <w:tcBorders>
              <w:top w:val="nil"/>
              <w:left w:val="nil"/>
              <w:bottom w:val="single" w:sz="4" w:space="0" w:color="auto"/>
              <w:right w:val="single" w:sz="4" w:space="0" w:color="auto"/>
            </w:tcBorders>
            <w:shd w:val="clear" w:color="000000" w:fill="FFFFFF"/>
            <w:noWrap/>
            <w:vAlign w:val="center"/>
            <w:hideMark/>
          </w:tcPr>
          <w:p w14:paraId="5655CCC2"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121 110 € </w:t>
            </w:r>
          </w:p>
        </w:tc>
        <w:tc>
          <w:tcPr>
            <w:tcW w:w="1180" w:type="dxa"/>
            <w:tcBorders>
              <w:top w:val="nil"/>
              <w:left w:val="nil"/>
              <w:bottom w:val="single" w:sz="4" w:space="0" w:color="auto"/>
              <w:right w:val="single" w:sz="4" w:space="0" w:color="auto"/>
            </w:tcBorders>
            <w:shd w:val="clear" w:color="000000" w:fill="FFFFFF"/>
            <w:noWrap/>
            <w:vAlign w:val="center"/>
            <w:hideMark/>
          </w:tcPr>
          <w:p w14:paraId="349D058B"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42 405 € </w:t>
            </w:r>
          </w:p>
        </w:tc>
        <w:tc>
          <w:tcPr>
            <w:tcW w:w="1250" w:type="dxa"/>
            <w:tcBorders>
              <w:top w:val="nil"/>
              <w:left w:val="nil"/>
              <w:bottom w:val="single" w:sz="4" w:space="0" w:color="auto"/>
              <w:right w:val="single" w:sz="4" w:space="0" w:color="auto"/>
            </w:tcBorders>
            <w:shd w:val="clear" w:color="000000" w:fill="FFFFFF"/>
            <w:noWrap/>
            <w:vAlign w:val="center"/>
            <w:hideMark/>
          </w:tcPr>
          <w:p w14:paraId="06EA81E3"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382DF837" w14:textId="77777777" w:rsidTr="00A5553B">
        <w:trPr>
          <w:trHeight w:val="600"/>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915AE"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ERAF ceļi uzņēmējdarbības attīstībai Transporta iela</w:t>
            </w:r>
          </w:p>
        </w:tc>
        <w:tc>
          <w:tcPr>
            <w:tcW w:w="1380" w:type="dxa"/>
            <w:tcBorders>
              <w:top w:val="nil"/>
              <w:left w:val="nil"/>
              <w:bottom w:val="single" w:sz="4" w:space="0" w:color="auto"/>
              <w:right w:val="single" w:sz="4" w:space="0" w:color="auto"/>
            </w:tcBorders>
            <w:shd w:val="clear" w:color="000000" w:fill="FFFFFF"/>
            <w:noWrap/>
            <w:vAlign w:val="center"/>
            <w:hideMark/>
          </w:tcPr>
          <w:p w14:paraId="18418F40"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378 326 € </w:t>
            </w:r>
          </w:p>
        </w:tc>
        <w:tc>
          <w:tcPr>
            <w:tcW w:w="1380" w:type="dxa"/>
            <w:tcBorders>
              <w:top w:val="nil"/>
              <w:left w:val="nil"/>
              <w:bottom w:val="single" w:sz="4" w:space="0" w:color="auto"/>
              <w:right w:val="single" w:sz="4" w:space="0" w:color="auto"/>
            </w:tcBorders>
            <w:shd w:val="clear" w:color="000000" w:fill="FFFFFF"/>
            <w:noWrap/>
            <w:vAlign w:val="center"/>
            <w:hideMark/>
          </w:tcPr>
          <w:p w14:paraId="26215854"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787 468 € </w:t>
            </w:r>
          </w:p>
        </w:tc>
        <w:tc>
          <w:tcPr>
            <w:tcW w:w="1180" w:type="dxa"/>
            <w:tcBorders>
              <w:top w:val="nil"/>
              <w:left w:val="nil"/>
              <w:bottom w:val="single" w:sz="4" w:space="0" w:color="auto"/>
              <w:right w:val="single" w:sz="4" w:space="0" w:color="auto"/>
            </w:tcBorders>
            <w:shd w:val="clear" w:color="000000" w:fill="FFFFFF"/>
            <w:noWrap/>
            <w:vAlign w:val="center"/>
            <w:hideMark/>
          </w:tcPr>
          <w:p w14:paraId="68464C54"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409 142 € </w:t>
            </w:r>
          </w:p>
        </w:tc>
        <w:tc>
          <w:tcPr>
            <w:tcW w:w="1250" w:type="dxa"/>
            <w:tcBorders>
              <w:top w:val="nil"/>
              <w:left w:val="nil"/>
              <w:bottom w:val="single" w:sz="4" w:space="0" w:color="auto"/>
              <w:right w:val="single" w:sz="4" w:space="0" w:color="auto"/>
            </w:tcBorders>
            <w:shd w:val="clear" w:color="000000" w:fill="FFFFFF"/>
            <w:noWrap/>
            <w:vAlign w:val="center"/>
            <w:hideMark/>
          </w:tcPr>
          <w:p w14:paraId="6BEB2D19"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67B0B83F" w14:textId="77777777" w:rsidTr="00A5553B">
        <w:trPr>
          <w:trHeight w:val="600"/>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8319E"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ELFLA pamatpakalpojumi ciematu atjaunošanā</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459DC"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880 000 €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E81022"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880 000 €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BFBF91"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250800"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3E4345A2" w14:textId="77777777" w:rsidTr="00A5553B">
        <w:trPr>
          <w:trHeight w:val="793"/>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93756"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SAM 4.2.2. "Energoefektivitātes paaugstināšana Salacgrīvas novada domes ēkā"</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C87AD"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23 962 €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DE2D9"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127 123 €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46C88"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103 161 €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14851B"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34B0D5A5" w14:textId="77777777" w:rsidTr="00A5553B">
        <w:trPr>
          <w:trHeight w:val="607"/>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3361D"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lastRenderedPageBreak/>
              <w:t>Atbalsts izglītojamo individuālo kompetenču attīstībai</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CFBD59"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3 173 €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FA565"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3 173 €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8F805"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6FD0FA"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451D9273" w14:textId="77777777" w:rsidTr="00A5553B">
        <w:trPr>
          <w:trHeight w:val="515"/>
        </w:trPr>
        <w:tc>
          <w:tcPr>
            <w:tcW w:w="3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00F813"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Interreg Central Baltic pārrobežu sadarbības projekta “Coast4us”</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9E8A3"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58 935 €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E993F"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69 335 €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9CC2B"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A75FE"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10 400 € </w:t>
            </w:r>
          </w:p>
        </w:tc>
      </w:tr>
      <w:tr w:rsidR="00CD3D80" w:rsidRPr="00CD3D80" w14:paraId="6C9F890E" w14:textId="77777777" w:rsidTr="00A5553B">
        <w:trPr>
          <w:trHeight w:val="989"/>
        </w:trPr>
        <w:tc>
          <w:tcPr>
            <w:tcW w:w="3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82550"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SAM 5.5.1. projekts "Vidzemes piekrastes kultūras un dabas mantojuma iekļaušana tūrisma pakalpojuma izveidē un attīstībā - "Saviļņojošā Vidzeme"</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C383D"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494 106 €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D6759F"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698 985 €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6B192C"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204 879 €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1809B"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7154CB9D" w14:textId="77777777" w:rsidTr="00A5553B">
        <w:trPr>
          <w:trHeight w:val="834"/>
        </w:trPr>
        <w:tc>
          <w:tcPr>
            <w:tcW w:w="3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59DA9E"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ESF projekts "Deinstitucionalizācija un sociālie pakalpojumi personām ar invaliditāti un bērniem"</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24B50A"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42 143 €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423214"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49 580 €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7DD0B"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7B62E"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7 437 € </w:t>
            </w:r>
          </w:p>
        </w:tc>
      </w:tr>
      <w:tr w:rsidR="00CD3D80" w:rsidRPr="00CD3D80" w14:paraId="55CB52E4" w14:textId="77777777" w:rsidTr="00A5553B">
        <w:trPr>
          <w:trHeight w:val="846"/>
        </w:trPr>
        <w:tc>
          <w:tcPr>
            <w:tcW w:w="3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43C1F"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Salacgrīvas pilsētas Vidzemes, Viļņu un Pērnavas ielu  2.196 km kopgarumā atjaunošana</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3554A"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1 000 000 € </w:t>
            </w:r>
          </w:p>
        </w:tc>
        <w:tc>
          <w:tcPr>
            <w:tcW w:w="1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FBE487"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1 250 000 €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AF792" w14:textId="77777777" w:rsidR="00CD3D80" w:rsidRPr="00CD3D80" w:rsidRDefault="00CD3D80" w:rsidP="00CD3D80">
            <w:pPr>
              <w:spacing w:after="0" w:line="240" w:lineRule="auto"/>
              <w:rPr>
                <w:rFonts w:ascii="Times New Roman" w:eastAsia="Times New Roman" w:hAnsi="Times New Roman" w:cs="Times New Roman"/>
                <w:b/>
                <w:bCs/>
                <w:color w:val="FF0000"/>
                <w:sz w:val="20"/>
                <w:szCs w:val="20"/>
                <w:lang w:eastAsia="lv-LV"/>
              </w:rPr>
            </w:pPr>
            <w:r w:rsidRPr="00CD3D80">
              <w:rPr>
                <w:rFonts w:ascii="Times New Roman" w:eastAsia="Times New Roman" w:hAnsi="Times New Roman" w:cs="Times New Roman"/>
                <w:b/>
                <w:bCs/>
                <w:color w:val="FF0000"/>
                <w:sz w:val="20"/>
                <w:szCs w:val="20"/>
                <w:lang w:eastAsia="lv-LV"/>
              </w:rPr>
              <w:t>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85E6C"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250 000 € </w:t>
            </w:r>
          </w:p>
        </w:tc>
      </w:tr>
      <w:tr w:rsidR="00CD3D80" w:rsidRPr="00CD3D80" w14:paraId="51A5E33B" w14:textId="77777777" w:rsidTr="00A5553B">
        <w:trPr>
          <w:trHeight w:val="315"/>
        </w:trPr>
        <w:tc>
          <w:tcPr>
            <w:tcW w:w="395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437CB38" w14:textId="77777777" w:rsidR="00CD3D80" w:rsidRPr="00CD3D80" w:rsidRDefault="00CD3D80" w:rsidP="00CD3D80">
            <w:pPr>
              <w:spacing w:after="0" w:line="240" w:lineRule="auto"/>
              <w:jc w:val="right"/>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KOPĀ</w:t>
            </w:r>
          </w:p>
        </w:tc>
        <w:tc>
          <w:tcPr>
            <w:tcW w:w="138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B7C0DBF"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2 959 350 € </w:t>
            </w:r>
          </w:p>
        </w:tc>
        <w:tc>
          <w:tcPr>
            <w:tcW w:w="138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128092B"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3 986 774 € </w:t>
            </w:r>
          </w:p>
        </w:tc>
        <w:tc>
          <w:tcPr>
            <w:tcW w:w="118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7F4739C"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759 587 € </w:t>
            </w:r>
          </w:p>
        </w:tc>
        <w:tc>
          <w:tcPr>
            <w:tcW w:w="125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8042254"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267 837 € </w:t>
            </w:r>
          </w:p>
        </w:tc>
      </w:tr>
    </w:tbl>
    <w:p w14:paraId="640B2BDE"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1B9ED0E5"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Plānotie prioritārie pasākumi 2019.gadā</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528"/>
        <w:gridCol w:w="1536"/>
        <w:gridCol w:w="1017"/>
        <w:gridCol w:w="1534"/>
      </w:tblGrid>
      <w:tr w:rsidR="00CD3D80" w:rsidRPr="00CD3D80" w14:paraId="6C388174" w14:textId="77777777" w:rsidTr="00A5553B">
        <w:trPr>
          <w:trHeight w:val="510"/>
        </w:trPr>
        <w:tc>
          <w:tcPr>
            <w:tcW w:w="3599" w:type="dxa"/>
            <w:shd w:val="clear" w:color="auto" w:fill="auto"/>
            <w:hideMark/>
          </w:tcPr>
          <w:p w14:paraId="36C0B496"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Mērķis (nosaukums)</w:t>
            </w:r>
          </w:p>
        </w:tc>
        <w:tc>
          <w:tcPr>
            <w:tcW w:w="1528" w:type="dxa"/>
            <w:shd w:val="clear" w:color="000000" w:fill="FFFFFF"/>
            <w:hideMark/>
          </w:tcPr>
          <w:p w14:paraId="19DCBEB4"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Naudas atlikums uz gada sākumu</w:t>
            </w:r>
          </w:p>
        </w:tc>
        <w:tc>
          <w:tcPr>
            <w:tcW w:w="1536" w:type="dxa"/>
            <w:shd w:val="clear" w:color="000000" w:fill="FFFFFF"/>
            <w:vAlign w:val="center"/>
            <w:hideMark/>
          </w:tcPr>
          <w:p w14:paraId="448CBB8F"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Plānotie izdevumi</w:t>
            </w:r>
          </w:p>
        </w:tc>
        <w:tc>
          <w:tcPr>
            <w:tcW w:w="1017" w:type="dxa"/>
            <w:shd w:val="clear" w:color="000000" w:fill="FFFFFF"/>
            <w:vAlign w:val="center"/>
            <w:hideMark/>
          </w:tcPr>
          <w:p w14:paraId="66043151"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Kredīta līdzekļi</w:t>
            </w:r>
          </w:p>
        </w:tc>
        <w:tc>
          <w:tcPr>
            <w:tcW w:w="1534" w:type="dxa"/>
            <w:shd w:val="clear" w:color="000000" w:fill="FFFFFF"/>
            <w:vAlign w:val="center"/>
            <w:hideMark/>
          </w:tcPr>
          <w:p w14:paraId="49E4DE7F"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Pašvaldības finansējums</w:t>
            </w:r>
          </w:p>
        </w:tc>
      </w:tr>
      <w:tr w:rsidR="00CD3D80" w:rsidRPr="00CD3D80" w14:paraId="3B48F997" w14:textId="77777777" w:rsidTr="00A5553B">
        <w:trPr>
          <w:trHeight w:val="509"/>
        </w:trPr>
        <w:tc>
          <w:tcPr>
            <w:tcW w:w="3599" w:type="dxa"/>
            <w:shd w:val="clear" w:color="auto" w:fill="auto"/>
            <w:vAlign w:val="center"/>
            <w:hideMark/>
          </w:tcPr>
          <w:p w14:paraId="4ECB3EBE"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Sporta kompleksa būvniecība</w:t>
            </w:r>
          </w:p>
        </w:tc>
        <w:tc>
          <w:tcPr>
            <w:tcW w:w="1528" w:type="dxa"/>
            <w:shd w:val="clear" w:color="000000" w:fill="FFFFFF"/>
            <w:noWrap/>
            <w:vAlign w:val="center"/>
            <w:hideMark/>
          </w:tcPr>
          <w:p w14:paraId="6632E5C0"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1 413 072 € </w:t>
            </w:r>
          </w:p>
        </w:tc>
        <w:tc>
          <w:tcPr>
            <w:tcW w:w="1536" w:type="dxa"/>
            <w:shd w:val="clear" w:color="000000" w:fill="FFFFFF"/>
            <w:noWrap/>
            <w:vAlign w:val="center"/>
            <w:hideMark/>
          </w:tcPr>
          <w:p w14:paraId="49A4D1B6"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1 413 072 € </w:t>
            </w:r>
          </w:p>
        </w:tc>
        <w:tc>
          <w:tcPr>
            <w:tcW w:w="1017" w:type="dxa"/>
            <w:shd w:val="clear" w:color="000000" w:fill="FFFFFF"/>
            <w:noWrap/>
            <w:vAlign w:val="center"/>
            <w:hideMark/>
          </w:tcPr>
          <w:p w14:paraId="530E2096"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600502C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11A28BA2" w14:textId="77777777" w:rsidTr="00A5553B">
        <w:trPr>
          <w:trHeight w:val="842"/>
        </w:trPr>
        <w:tc>
          <w:tcPr>
            <w:tcW w:w="3599" w:type="dxa"/>
            <w:shd w:val="clear" w:color="auto" w:fill="auto"/>
            <w:vAlign w:val="bottom"/>
            <w:hideMark/>
          </w:tcPr>
          <w:p w14:paraId="799BF982"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Meldru un Lašu ielas seguma atjaunošanai (25% 2018.gadā, 75% 2019.gada budžetā)</w:t>
            </w:r>
          </w:p>
        </w:tc>
        <w:tc>
          <w:tcPr>
            <w:tcW w:w="1528" w:type="dxa"/>
            <w:shd w:val="clear" w:color="000000" w:fill="FFFFFF"/>
            <w:noWrap/>
            <w:vAlign w:val="center"/>
            <w:hideMark/>
          </w:tcPr>
          <w:p w14:paraId="6FBFE064"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102 818 € </w:t>
            </w:r>
          </w:p>
        </w:tc>
        <w:tc>
          <w:tcPr>
            <w:tcW w:w="1536" w:type="dxa"/>
            <w:shd w:val="clear" w:color="000000" w:fill="FFFFFF"/>
            <w:noWrap/>
            <w:vAlign w:val="center"/>
            <w:hideMark/>
          </w:tcPr>
          <w:p w14:paraId="2F105963"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102 818 € </w:t>
            </w:r>
          </w:p>
        </w:tc>
        <w:tc>
          <w:tcPr>
            <w:tcW w:w="1017" w:type="dxa"/>
            <w:shd w:val="clear" w:color="000000" w:fill="FFFFFF"/>
            <w:noWrap/>
            <w:vAlign w:val="center"/>
            <w:hideMark/>
          </w:tcPr>
          <w:p w14:paraId="2141E496"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77EB1C1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0697DFE6" w14:textId="77777777" w:rsidTr="00A5553B">
        <w:trPr>
          <w:trHeight w:val="842"/>
        </w:trPr>
        <w:tc>
          <w:tcPr>
            <w:tcW w:w="3599" w:type="dxa"/>
            <w:shd w:val="clear" w:color="auto" w:fill="auto"/>
            <w:vAlign w:val="center"/>
            <w:hideMark/>
          </w:tcPr>
          <w:p w14:paraId="23D38C83"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Ielu apgaismojuma projektēšana un izbūve Robežu, Selgas, Līču un Bangu ielās Salacgrīvā</w:t>
            </w:r>
          </w:p>
        </w:tc>
        <w:tc>
          <w:tcPr>
            <w:tcW w:w="1528" w:type="dxa"/>
            <w:shd w:val="clear" w:color="000000" w:fill="FFFFFF"/>
            <w:noWrap/>
            <w:vAlign w:val="center"/>
            <w:hideMark/>
          </w:tcPr>
          <w:p w14:paraId="05C23C15"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28 361 € </w:t>
            </w:r>
          </w:p>
        </w:tc>
        <w:tc>
          <w:tcPr>
            <w:tcW w:w="1536" w:type="dxa"/>
            <w:shd w:val="clear" w:color="000000" w:fill="FFFFFF"/>
            <w:noWrap/>
            <w:vAlign w:val="center"/>
            <w:hideMark/>
          </w:tcPr>
          <w:p w14:paraId="0787B7D7"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28 361 € </w:t>
            </w:r>
          </w:p>
        </w:tc>
        <w:tc>
          <w:tcPr>
            <w:tcW w:w="1017" w:type="dxa"/>
            <w:shd w:val="clear" w:color="000000" w:fill="FFFFFF"/>
            <w:noWrap/>
            <w:vAlign w:val="center"/>
            <w:hideMark/>
          </w:tcPr>
          <w:p w14:paraId="7CA46E25"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4B2286B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548569DE" w14:textId="77777777" w:rsidTr="00A5553B">
        <w:trPr>
          <w:trHeight w:val="412"/>
        </w:trPr>
        <w:tc>
          <w:tcPr>
            <w:tcW w:w="3599" w:type="dxa"/>
            <w:shd w:val="clear" w:color="auto" w:fill="auto"/>
            <w:vAlign w:val="center"/>
            <w:hideMark/>
          </w:tcPr>
          <w:p w14:paraId="0B7528DD"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Ielu apgaismojuma projektēšana Kuivižos</w:t>
            </w:r>
          </w:p>
        </w:tc>
        <w:tc>
          <w:tcPr>
            <w:tcW w:w="1528" w:type="dxa"/>
            <w:shd w:val="clear" w:color="000000" w:fill="FFFFFF"/>
            <w:noWrap/>
            <w:vAlign w:val="center"/>
            <w:hideMark/>
          </w:tcPr>
          <w:p w14:paraId="28AD6381"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6 000 € </w:t>
            </w:r>
          </w:p>
        </w:tc>
        <w:tc>
          <w:tcPr>
            <w:tcW w:w="1536" w:type="dxa"/>
            <w:shd w:val="clear" w:color="000000" w:fill="FFFFFF"/>
            <w:noWrap/>
            <w:vAlign w:val="center"/>
            <w:hideMark/>
          </w:tcPr>
          <w:p w14:paraId="1ECF0EB4"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6 000 € </w:t>
            </w:r>
          </w:p>
        </w:tc>
        <w:tc>
          <w:tcPr>
            <w:tcW w:w="1017" w:type="dxa"/>
            <w:shd w:val="clear" w:color="000000" w:fill="FFFFFF"/>
            <w:noWrap/>
            <w:vAlign w:val="center"/>
            <w:hideMark/>
          </w:tcPr>
          <w:p w14:paraId="0873C3C5"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5C2A0EC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30CC679E" w14:textId="77777777" w:rsidTr="00A5553B">
        <w:trPr>
          <w:trHeight w:val="418"/>
        </w:trPr>
        <w:tc>
          <w:tcPr>
            <w:tcW w:w="3599" w:type="dxa"/>
            <w:shd w:val="clear" w:color="auto" w:fill="auto"/>
            <w:vAlign w:val="center"/>
            <w:hideMark/>
          </w:tcPr>
          <w:p w14:paraId="1D3B3C5F"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Sporta laukuma apgaismošana Liepupē</w:t>
            </w:r>
          </w:p>
        </w:tc>
        <w:tc>
          <w:tcPr>
            <w:tcW w:w="1528" w:type="dxa"/>
            <w:shd w:val="clear" w:color="000000" w:fill="FFFFFF"/>
            <w:noWrap/>
            <w:vAlign w:val="center"/>
            <w:hideMark/>
          </w:tcPr>
          <w:p w14:paraId="0487D05F"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10 000 € </w:t>
            </w:r>
          </w:p>
        </w:tc>
        <w:tc>
          <w:tcPr>
            <w:tcW w:w="1536" w:type="dxa"/>
            <w:shd w:val="clear" w:color="000000" w:fill="FFFFFF"/>
            <w:noWrap/>
            <w:vAlign w:val="center"/>
            <w:hideMark/>
          </w:tcPr>
          <w:p w14:paraId="69518767"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10 000 € </w:t>
            </w:r>
          </w:p>
        </w:tc>
        <w:tc>
          <w:tcPr>
            <w:tcW w:w="1017" w:type="dxa"/>
            <w:shd w:val="clear" w:color="000000" w:fill="FFFFFF"/>
            <w:noWrap/>
            <w:vAlign w:val="center"/>
            <w:hideMark/>
          </w:tcPr>
          <w:p w14:paraId="77C471C7"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464DC6B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2F871E47" w14:textId="77777777" w:rsidTr="00A5553B">
        <w:trPr>
          <w:trHeight w:val="419"/>
        </w:trPr>
        <w:tc>
          <w:tcPr>
            <w:tcW w:w="3599" w:type="dxa"/>
            <w:shd w:val="clear" w:color="auto" w:fill="auto"/>
            <w:vAlign w:val="center"/>
            <w:hideMark/>
          </w:tcPr>
          <w:p w14:paraId="2CAFE0C8"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Paaugstināt ēkas energoefektivitāti</w:t>
            </w:r>
          </w:p>
        </w:tc>
        <w:tc>
          <w:tcPr>
            <w:tcW w:w="1528" w:type="dxa"/>
            <w:shd w:val="clear" w:color="000000" w:fill="FFFFFF"/>
            <w:noWrap/>
            <w:vAlign w:val="center"/>
            <w:hideMark/>
          </w:tcPr>
          <w:p w14:paraId="724F1DF6"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1 060 € </w:t>
            </w:r>
          </w:p>
        </w:tc>
        <w:tc>
          <w:tcPr>
            <w:tcW w:w="1536" w:type="dxa"/>
            <w:shd w:val="clear" w:color="000000" w:fill="FFFFFF"/>
            <w:noWrap/>
            <w:vAlign w:val="center"/>
            <w:hideMark/>
          </w:tcPr>
          <w:p w14:paraId="603D673E"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1 060 € </w:t>
            </w:r>
          </w:p>
        </w:tc>
        <w:tc>
          <w:tcPr>
            <w:tcW w:w="1017" w:type="dxa"/>
            <w:shd w:val="clear" w:color="000000" w:fill="FFFFFF"/>
            <w:noWrap/>
            <w:vAlign w:val="center"/>
            <w:hideMark/>
          </w:tcPr>
          <w:p w14:paraId="2EAE9F8C"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7C2B988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03E68D27" w14:textId="77777777" w:rsidTr="00A5553B">
        <w:trPr>
          <w:trHeight w:val="503"/>
        </w:trPr>
        <w:tc>
          <w:tcPr>
            <w:tcW w:w="3599" w:type="dxa"/>
            <w:shd w:val="clear" w:color="auto" w:fill="auto"/>
            <w:vAlign w:val="center"/>
            <w:hideMark/>
          </w:tcPr>
          <w:p w14:paraId="6DA15C49"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Noejas izbūve uz Lībiešu upuralām</w:t>
            </w:r>
          </w:p>
        </w:tc>
        <w:tc>
          <w:tcPr>
            <w:tcW w:w="1528" w:type="dxa"/>
            <w:shd w:val="clear" w:color="000000" w:fill="FFFFFF"/>
            <w:noWrap/>
            <w:vAlign w:val="center"/>
            <w:hideMark/>
          </w:tcPr>
          <w:p w14:paraId="625E5C32"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11 487 € </w:t>
            </w:r>
          </w:p>
        </w:tc>
        <w:tc>
          <w:tcPr>
            <w:tcW w:w="1536" w:type="dxa"/>
            <w:shd w:val="clear" w:color="000000" w:fill="FFFFFF"/>
            <w:noWrap/>
            <w:vAlign w:val="center"/>
            <w:hideMark/>
          </w:tcPr>
          <w:p w14:paraId="5903D7C8"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11 487 € </w:t>
            </w:r>
          </w:p>
        </w:tc>
        <w:tc>
          <w:tcPr>
            <w:tcW w:w="1017" w:type="dxa"/>
            <w:shd w:val="clear" w:color="000000" w:fill="FFFFFF"/>
            <w:noWrap/>
            <w:vAlign w:val="center"/>
            <w:hideMark/>
          </w:tcPr>
          <w:p w14:paraId="037A09E6"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7BDA61C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01CB7EAD" w14:textId="77777777" w:rsidTr="00A5553B">
        <w:trPr>
          <w:trHeight w:val="431"/>
        </w:trPr>
        <w:tc>
          <w:tcPr>
            <w:tcW w:w="3599" w:type="dxa"/>
            <w:shd w:val="clear" w:color="auto" w:fill="auto"/>
            <w:vAlign w:val="center"/>
            <w:hideMark/>
          </w:tcPr>
          <w:p w14:paraId="3EC1D3EE"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Graustu nojaukšanai</w:t>
            </w:r>
          </w:p>
        </w:tc>
        <w:tc>
          <w:tcPr>
            <w:tcW w:w="1528" w:type="dxa"/>
            <w:shd w:val="clear" w:color="000000" w:fill="FFFFFF"/>
            <w:noWrap/>
            <w:vAlign w:val="center"/>
            <w:hideMark/>
          </w:tcPr>
          <w:p w14:paraId="2CEC253B"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25 694 € </w:t>
            </w:r>
          </w:p>
        </w:tc>
        <w:tc>
          <w:tcPr>
            <w:tcW w:w="1536" w:type="dxa"/>
            <w:shd w:val="clear" w:color="000000" w:fill="FFFFFF"/>
            <w:noWrap/>
            <w:vAlign w:val="center"/>
            <w:hideMark/>
          </w:tcPr>
          <w:p w14:paraId="7A5D251E"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25 694 € </w:t>
            </w:r>
          </w:p>
        </w:tc>
        <w:tc>
          <w:tcPr>
            <w:tcW w:w="1017" w:type="dxa"/>
            <w:shd w:val="clear" w:color="000000" w:fill="FFFFFF"/>
            <w:noWrap/>
            <w:vAlign w:val="center"/>
            <w:hideMark/>
          </w:tcPr>
          <w:p w14:paraId="6265E42F"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79EFDBA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   € </w:t>
            </w:r>
          </w:p>
        </w:tc>
      </w:tr>
      <w:tr w:rsidR="00CD3D80" w:rsidRPr="00CD3D80" w14:paraId="58B11630" w14:textId="77777777" w:rsidTr="00A5553B">
        <w:trPr>
          <w:trHeight w:val="728"/>
        </w:trPr>
        <w:tc>
          <w:tcPr>
            <w:tcW w:w="3599" w:type="dxa"/>
            <w:shd w:val="clear" w:color="auto" w:fill="auto"/>
            <w:vAlign w:val="center"/>
            <w:hideMark/>
          </w:tcPr>
          <w:p w14:paraId="76C76C04" w14:textId="77777777" w:rsidR="00CD3D80" w:rsidRPr="00CD3D80" w:rsidRDefault="00CD3D80" w:rsidP="00CD3D80">
            <w:pPr>
              <w:spacing w:after="0" w:line="240" w:lineRule="auto"/>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Uzlabota jahtu ostu infrastruktūra un ostu tīkla attīstība Igaunijā un Latvijā" līdzfinansēšana</w:t>
            </w:r>
          </w:p>
        </w:tc>
        <w:tc>
          <w:tcPr>
            <w:tcW w:w="1528" w:type="dxa"/>
            <w:shd w:val="clear" w:color="000000" w:fill="FFFFFF"/>
            <w:noWrap/>
            <w:vAlign w:val="center"/>
            <w:hideMark/>
          </w:tcPr>
          <w:p w14:paraId="5B87C5FF"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6" w:type="dxa"/>
            <w:shd w:val="clear" w:color="000000" w:fill="FFFFFF"/>
            <w:noWrap/>
            <w:vAlign w:val="center"/>
            <w:hideMark/>
          </w:tcPr>
          <w:p w14:paraId="02C3B1D0"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xml:space="preserve">         350 029 € </w:t>
            </w:r>
          </w:p>
        </w:tc>
        <w:tc>
          <w:tcPr>
            <w:tcW w:w="1017" w:type="dxa"/>
            <w:shd w:val="clear" w:color="000000" w:fill="FFFFFF"/>
            <w:noWrap/>
            <w:vAlign w:val="center"/>
            <w:hideMark/>
          </w:tcPr>
          <w:p w14:paraId="28893ACD"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 </w:t>
            </w:r>
          </w:p>
        </w:tc>
        <w:tc>
          <w:tcPr>
            <w:tcW w:w="1534" w:type="dxa"/>
            <w:shd w:val="clear" w:color="000000" w:fill="FFFFFF"/>
            <w:noWrap/>
            <w:vAlign w:val="center"/>
            <w:hideMark/>
          </w:tcPr>
          <w:p w14:paraId="33A193D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 xml:space="preserve">      350 029 € </w:t>
            </w:r>
          </w:p>
        </w:tc>
      </w:tr>
      <w:tr w:rsidR="00CD3D80" w:rsidRPr="00CD3D80" w14:paraId="08512C4F" w14:textId="77777777" w:rsidTr="00A5553B">
        <w:trPr>
          <w:trHeight w:val="285"/>
        </w:trPr>
        <w:tc>
          <w:tcPr>
            <w:tcW w:w="3599" w:type="dxa"/>
            <w:shd w:val="clear" w:color="000000" w:fill="99FF99"/>
            <w:vAlign w:val="center"/>
            <w:hideMark/>
          </w:tcPr>
          <w:p w14:paraId="1CAD180A" w14:textId="77777777" w:rsidR="00CD3D80" w:rsidRPr="00CD3D80" w:rsidRDefault="00CD3D80" w:rsidP="00CD3D80">
            <w:pPr>
              <w:spacing w:after="0" w:line="240" w:lineRule="auto"/>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KOPĀ</w:t>
            </w:r>
          </w:p>
        </w:tc>
        <w:tc>
          <w:tcPr>
            <w:tcW w:w="1528" w:type="dxa"/>
            <w:shd w:val="clear" w:color="000000" w:fill="99FF99"/>
            <w:vAlign w:val="center"/>
            <w:hideMark/>
          </w:tcPr>
          <w:p w14:paraId="378000FD"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1 598 492 € </w:t>
            </w:r>
          </w:p>
        </w:tc>
        <w:tc>
          <w:tcPr>
            <w:tcW w:w="1536" w:type="dxa"/>
            <w:shd w:val="clear" w:color="000000" w:fill="99FF99"/>
            <w:vAlign w:val="center"/>
            <w:hideMark/>
          </w:tcPr>
          <w:p w14:paraId="44B2BD15"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1 948 521 € </w:t>
            </w:r>
          </w:p>
        </w:tc>
        <w:tc>
          <w:tcPr>
            <w:tcW w:w="1017" w:type="dxa"/>
            <w:shd w:val="clear" w:color="000000" w:fill="99FF99"/>
            <w:vAlign w:val="center"/>
            <w:hideMark/>
          </w:tcPr>
          <w:p w14:paraId="180C99EF"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   € </w:t>
            </w:r>
          </w:p>
        </w:tc>
        <w:tc>
          <w:tcPr>
            <w:tcW w:w="1534" w:type="dxa"/>
            <w:shd w:val="clear" w:color="000000" w:fill="99FF99"/>
            <w:vAlign w:val="center"/>
            <w:hideMark/>
          </w:tcPr>
          <w:p w14:paraId="367A2E5B" w14:textId="77777777" w:rsidR="00CD3D80" w:rsidRPr="00CD3D80" w:rsidRDefault="00CD3D80" w:rsidP="00CD3D80">
            <w:pPr>
              <w:spacing w:after="0" w:line="240" w:lineRule="auto"/>
              <w:jc w:val="center"/>
              <w:rPr>
                <w:rFonts w:ascii="Times New Roman" w:eastAsia="Times New Roman" w:hAnsi="Times New Roman" w:cs="Times New Roman"/>
                <w:b/>
                <w:bCs/>
                <w:sz w:val="20"/>
                <w:szCs w:val="20"/>
                <w:lang w:eastAsia="lv-LV"/>
              </w:rPr>
            </w:pPr>
            <w:r w:rsidRPr="00CD3D80">
              <w:rPr>
                <w:rFonts w:ascii="Times New Roman" w:eastAsia="Times New Roman" w:hAnsi="Times New Roman" w:cs="Times New Roman"/>
                <w:b/>
                <w:bCs/>
                <w:sz w:val="20"/>
                <w:szCs w:val="20"/>
                <w:lang w:eastAsia="lv-LV"/>
              </w:rPr>
              <w:t xml:space="preserve">    350 029 € </w:t>
            </w:r>
          </w:p>
        </w:tc>
      </w:tr>
    </w:tbl>
    <w:p w14:paraId="2D1D7E9C"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5F8EEB14"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Svarīgākās no pamatbudžeta izdevumu pozīcijām:</w:t>
      </w:r>
    </w:p>
    <w:p w14:paraId="08DD5841"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plānoto projektu realizēšanai 3’986’774</w:t>
      </w:r>
    </w:p>
    <w:p w14:paraId="2E8F5E00"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plānotiem prioritāriem pasākumiem 1’948’521</w:t>
      </w:r>
    </w:p>
    <w:p w14:paraId="4D15FC2B"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plānotiem ārpus bāzes pasākumiem 158’648</w:t>
      </w:r>
    </w:p>
    <w:p w14:paraId="5F77D31D"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plānotiem kultūras un sporta pasākumiem 169’952</w:t>
      </w:r>
    </w:p>
    <w:p w14:paraId="12EAE30B"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bookmarkStart w:id="10" w:name="_Hlk532824505"/>
      <w:r w:rsidRPr="00CD3D80">
        <w:rPr>
          <w:rFonts w:ascii="Times New Roman" w:eastAsia="Calibri" w:hAnsi="Times New Roman" w:cs="Times New Roman"/>
          <w:sz w:val="24"/>
          <w:szCs w:val="24"/>
        </w:rPr>
        <w:t>mērķdotācijas pamata un vispārējās izglītības pedagogiem 8 mēnešiem:</w:t>
      </w:r>
    </w:p>
    <w:p w14:paraId="5814D8DD"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 91’227 euro</w:t>
      </w:r>
    </w:p>
    <w:p w14:paraId="32D07525"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Salacgrīvas vidusskolai 378’365 euro</w:t>
      </w:r>
    </w:p>
    <w:p w14:paraId="022AE4A3"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pamatskolai 129’832 euro</w:t>
      </w:r>
    </w:p>
    <w:bookmarkEnd w:id="10"/>
    <w:p w14:paraId="4291ECAC"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mērķdotācijas interešu izglītības izglītības pedagogiem 8 mēnešiem:</w:t>
      </w:r>
    </w:p>
    <w:p w14:paraId="733169CF"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lastRenderedPageBreak/>
        <w:t>Liepupes pamatskolai 4’752 euro</w:t>
      </w:r>
    </w:p>
    <w:p w14:paraId="49B52D8C"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Salacgrīvas vidusskolai 19’499 euro</w:t>
      </w:r>
    </w:p>
    <w:p w14:paraId="46A13DBC"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pamatskolai 4’221 euro</w:t>
      </w:r>
    </w:p>
    <w:p w14:paraId="32CA2206"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mērķdotācijas piecgadīgo un sešgadīgo apmācībai 8 mēnešiem:</w:t>
      </w:r>
    </w:p>
    <w:p w14:paraId="0F881A06"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pamatskolas pirmsskolas grupām 11’885 euro</w:t>
      </w:r>
    </w:p>
    <w:p w14:paraId="735B037C"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PII Vilnītis 46’381 euro</w:t>
      </w:r>
    </w:p>
    <w:p w14:paraId="05A1ABCE"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pamatskolas pirmsskolas grupām 9’869 euro</w:t>
      </w:r>
    </w:p>
    <w:p w14:paraId="2648A5C6"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Valsts budžeta dotācija 1.-4.klašu ēdināšanai:</w:t>
      </w:r>
    </w:p>
    <w:p w14:paraId="4C0C6FA6"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 7’877 euro</w:t>
      </w:r>
    </w:p>
    <w:p w14:paraId="14242187"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Salacgrīvas vidusskolai 37’966 euro</w:t>
      </w:r>
    </w:p>
    <w:p w14:paraId="4926F2F0"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pamatskolai 9’077 euro</w:t>
      </w:r>
    </w:p>
    <w:p w14:paraId="7642B22F"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Dotācija profesionālās ievirzes pedagogiem 8 mēnešiem:</w:t>
      </w:r>
    </w:p>
    <w:p w14:paraId="77BA9C79"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Mākslas skolas pedagogiem 81’054 euro</w:t>
      </w:r>
    </w:p>
    <w:p w14:paraId="4D11C145"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Mūzikas skolas pedagogiem 19’216 euro</w:t>
      </w:r>
    </w:p>
    <w:p w14:paraId="3D3062E3"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VB finansējums Korģenes FV 10’176 euro</w:t>
      </w:r>
    </w:p>
    <w:p w14:paraId="044E6ABF"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Pašvaldības finansējums pedagogu atalgojumam:</w:t>
      </w:r>
    </w:p>
    <w:p w14:paraId="4F61D16A"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PII Vilnītis 166’380 euro</w:t>
      </w:r>
    </w:p>
    <w:p w14:paraId="76ABB9E7"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pamatskolas pirmsskolas grupas pedagogiem 45’718 euro</w:t>
      </w:r>
    </w:p>
    <w:p w14:paraId="3507D06D"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pamatskolas pirmsskolas grupu pedagogiem 28’787 euro</w:t>
      </w:r>
    </w:p>
    <w:p w14:paraId="07D3A2AB"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Mākslas skolas pedagogiem 43’355 euro</w:t>
      </w:r>
    </w:p>
    <w:p w14:paraId="5D142F05"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Mūzikas skolas pedagogiem 38’258 euro</w:t>
      </w:r>
    </w:p>
    <w:p w14:paraId="6A5CB5CB"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Pašvaldības finansējums interešu izglītības pedagogiem 8 mēnešiem:</w:t>
      </w:r>
    </w:p>
    <w:p w14:paraId="01B72AEE"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PII Vilnītis 3’164 euro</w:t>
      </w:r>
    </w:p>
    <w:p w14:paraId="6AF69B70"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pamatskolai 1’700 euro</w:t>
      </w:r>
    </w:p>
    <w:p w14:paraId="11B613A0"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 9’296 euro</w:t>
      </w:r>
    </w:p>
    <w:p w14:paraId="111B95F4"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Mūzikas skolai 4’954 euro</w:t>
      </w:r>
    </w:p>
    <w:p w14:paraId="6A546749"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Mākslas skolai 1’486 euro</w:t>
      </w:r>
    </w:p>
    <w:p w14:paraId="430B5DD2"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Izglītības iestāžu uzturēšanas izdevumi:</w:t>
      </w:r>
    </w:p>
    <w:p w14:paraId="261B1642"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PII Vilnītis 143’709 euro</w:t>
      </w:r>
    </w:p>
    <w:p w14:paraId="7831BB10"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pamatskolai 226’056 euro</w:t>
      </w:r>
    </w:p>
    <w:p w14:paraId="26E253E5"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pamatskolai 149’091 euro</w:t>
      </w:r>
    </w:p>
    <w:p w14:paraId="53B92E10"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Salacgrīvas vidusskolai 259’473 euro</w:t>
      </w:r>
    </w:p>
    <w:p w14:paraId="02290CA9"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Mūzikas skolai 25’681 euro</w:t>
      </w:r>
    </w:p>
    <w:p w14:paraId="7BD751A2"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Mākslas skolai 22’206 euro</w:t>
      </w:r>
    </w:p>
    <w:p w14:paraId="0E63B46F"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Pašvaldības izdevumi ēdināšanas dotācijām un transporta izdevumiem:</w:t>
      </w:r>
    </w:p>
    <w:p w14:paraId="220DC531"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PII Vilnītis 56’246 euro</w:t>
      </w:r>
    </w:p>
    <w:p w14:paraId="0552AB7E"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Liepupes pamatskola 66’130 euro</w:t>
      </w:r>
    </w:p>
    <w:p w14:paraId="4F89A736"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Ainažu pamatskola 34’627 euro</w:t>
      </w:r>
    </w:p>
    <w:p w14:paraId="6EE0A36C" w14:textId="77777777" w:rsidR="00CD3D80" w:rsidRPr="00CD3D80" w:rsidRDefault="00CD3D80" w:rsidP="00CD3D80">
      <w:pPr>
        <w:numPr>
          <w:ilvl w:val="1"/>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Salacgrīvas vidusskola 60’500 euro</w:t>
      </w:r>
    </w:p>
    <w:p w14:paraId="3AEA5A26"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Norēķini par izglītības iestāžu pakalpojumiem 273’796 euro</w:t>
      </w:r>
    </w:p>
    <w:p w14:paraId="4B913DA5"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Norēķini par sociālās palīdzības pakalpojumiem 197’492</w:t>
      </w:r>
    </w:p>
    <w:p w14:paraId="1DF6B49E"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Veco ļaužu mītnes Sprīdīši izdevumi 146’894 euro</w:t>
      </w:r>
    </w:p>
    <w:p w14:paraId="1C7BC46D" w14:textId="77777777" w:rsidR="00CD3D80" w:rsidRPr="00CD3D80" w:rsidRDefault="00CD3D80" w:rsidP="00CD3D80">
      <w:pPr>
        <w:numPr>
          <w:ilvl w:val="0"/>
          <w:numId w:val="6"/>
        </w:num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Sociālie pabalsti 168’507</w:t>
      </w:r>
    </w:p>
    <w:p w14:paraId="40D50568"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Rezerves fonds 100’000 euro</w:t>
      </w:r>
    </w:p>
    <w:p w14:paraId="473D32C2"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11D11D5D"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Finansēšana</w:t>
      </w:r>
    </w:p>
    <w:p w14:paraId="1E6026F2"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Pamatbudžeta naudas atlikumi gada sākumā 1’985’396  euro, tai skaitā:</w:t>
      </w:r>
    </w:p>
    <w:p w14:paraId="69C2C131"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prioritāriem pasākumiem 1’598’492</w:t>
      </w:r>
    </w:p>
    <w:p w14:paraId="6F7A663D"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ārpus bāzes izdevumiem 38’213</w:t>
      </w:r>
    </w:p>
    <w:p w14:paraId="45B13283" w14:textId="77777777" w:rsidR="00CD3D80" w:rsidRPr="00CD3D80" w:rsidRDefault="00CD3D80" w:rsidP="00CD3D80">
      <w:pPr>
        <w:numPr>
          <w:ilvl w:val="0"/>
          <w:numId w:val="6"/>
        </w:numPr>
        <w:autoSpaceDE w:val="0"/>
        <w:autoSpaceDN w:val="0"/>
        <w:adjustRightInd w:val="0"/>
        <w:spacing w:after="0" w:line="240" w:lineRule="auto"/>
        <w:contextualSpacing/>
        <w:rPr>
          <w:rFonts w:ascii="Times New Roman" w:eastAsia="Calibri" w:hAnsi="Times New Roman" w:cs="Times New Roman"/>
          <w:sz w:val="24"/>
          <w:szCs w:val="24"/>
        </w:rPr>
      </w:pPr>
      <w:r w:rsidRPr="00CD3D80">
        <w:rPr>
          <w:rFonts w:ascii="Times New Roman" w:eastAsia="Calibri" w:hAnsi="Times New Roman" w:cs="Times New Roman"/>
          <w:sz w:val="24"/>
          <w:szCs w:val="24"/>
        </w:rPr>
        <w:t>pārējie naudas atlikumi 348’691</w:t>
      </w:r>
    </w:p>
    <w:p w14:paraId="39EBAB46" w14:textId="77777777" w:rsidR="00CD3D80" w:rsidRPr="00CD3D80" w:rsidRDefault="00CD3D80" w:rsidP="00CD3D80">
      <w:pPr>
        <w:autoSpaceDE w:val="0"/>
        <w:autoSpaceDN w:val="0"/>
        <w:adjustRightInd w:val="0"/>
        <w:spacing w:after="0" w:line="240" w:lineRule="auto"/>
        <w:ind w:left="720"/>
        <w:contextualSpacing/>
        <w:rPr>
          <w:rFonts w:ascii="Times New Roman" w:eastAsia="Calibri" w:hAnsi="Times New Roman" w:cs="Times New Roman"/>
          <w:sz w:val="24"/>
          <w:szCs w:val="24"/>
        </w:rPr>
      </w:pPr>
    </w:p>
    <w:p w14:paraId="2116748C"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t>Salacgrīvas novada domes pārskats par aizņēmumiem un atmaksājamām kredīta summām</w:t>
      </w:r>
    </w:p>
    <w:tbl>
      <w:tblPr>
        <w:tblW w:w="10065" w:type="dxa"/>
        <w:tblInd w:w="-572" w:type="dxa"/>
        <w:tblLayout w:type="fixed"/>
        <w:tblLook w:val="04A0" w:firstRow="1" w:lastRow="0" w:firstColumn="1" w:lastColumn="0" w:noHBand="0" w:noVBand="1"/>
      </w:tblPr>
      <w:tblGrid>
        <w:gridCol w:w="562"/>
        <w:gridCol w:w="2132"/>
        <w:gridCol w:w="1275"/>
        <w:gridCol w:w="1276"/>
        <w:gridCol w:w="1276"/>
        <w:gridCol w:w="1134"/>
        <w:gridCol w:w="1134"/>
        <w:gridCol w:w="1276"/>
      </w:tblGrid>
      <w:tr w:rsidR="00CD3D80" w:rsidRPr="00CD3D80" w14:paraId="1FFE2CAF" w14:textId="77777777" w:rsidTr="00A5553B">
        <w:trPr>
          <w:trHeight w:val="9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1E9B6"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Nr.p.k.</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14:paraId="13EFD691"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Mērķis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3073E6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Parakstīšanas datums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7F30648"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Apmaksas termiņš</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44EFF8"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Neapmaksātā summa uz 01.01.2019.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B6C1A8"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Plānots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30053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Atmaksājams 2019.gadā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454893"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Neapmaksātā summa uz 01.01.2020.</w:t>
            </w:r>
          </w:p>
        </w:tc>
      </w:tr>
      <w:tr w:rsidR="00CD3D80" w:rsidRPr="00CD3D80" w14:paraId="7C15F520" w14:textId="77777777" w:rsidTr="00A5553B">
        <w:trPr>
          <w:trHeight w:val="76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050405"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w:t>
            </w:r>
          </w:p>
        </w:tc>
        <w:tc>
          <w:tcPr>
            <w:tcW w:w="2132" w:type="dxa"/>
            <w:tcBorders>
              <w:top w:val="nil"/>
              <w:left w:val="nil"/>
              <w:bottom w:val="single" w:sz="4" w:space="0" w:color="auto"/>
              <w:right w:val="single" w:sz="4" w:space="0" w:color="auto"/>
            </w:tcBorders>
            <w:shd w:val="clear" w:color="auto" w:fill="auto"/>
            <w:vAlign w:val="center"/>
            <w:hideMark/>
          </w:tcPr>
          <w:p w14:paraId="5C783AD6"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KF ūdenssaimniecības attīstība Austrum Latvijas upju baseinos īstenošanai</w:t>
            </w:r>
          </w:p>
        </w:tc>
        <w:tc>
          <w:tcPr>
            <w:tcW w:w="1275" w:type="dxa"/>
            <w:tcBorders>
              <w:top w:val="nil"/>
              <w:left w:val="nil"/>
              <w:bottom w:val="single" w:sz="4" w:space="0" w:color="auto"/>
              <w:right w:val="single" w:sz="4" w:space="0" w:color="auto"/>
            </w:tcBorders>
            <w:shd w:val="clear" w:color="auto" w:fill="auto"/>
            <w:vAlign w:val="center"/>
            <w:hideMark/>
          </w:tcPr>
          <w:p w14:paraId="0B7609D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19.12.2008.</w:t>
            </w:r>
          </w:p>
        </w:tc>
        <w:tc>
          <w:tcPr>
            <w:tcW w:w="1276" w:type="dxa"/>
            <w:tcBorders>
              <w:top w:val="nil"/>
              <w:left w:val="nil"/>
              <w:bottom w:val="single" w:sz="4" w:space="0" w:color="auto"/>
              <w:right w:val="single" w:sz="4" w:space="0" w:color="auto"/>
            </w:tcBorders>
            <w:shd w:val="clear" w:color="auto" w:fill="auto"/>
            <w:vAlign w:val="center"/>
            <w:hideMark/>
          </w:tcPr>
          <w:p w14:paraId="4A65799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20.08.2028.</w:t>
            </w:r>
          </w:p>
        </w:tc>
        <w:tc>
          <w:tcPr>
            <w:tcW w:w="1276" w:type="dxa"/>
            <w:tcBorders>
              <w:top w:val="nil"/>
              <w:left w:val="nil"/>
              <w:bottom w:val="single" w:sz="4" w:space="0" w:color="auto"/>
              <w:right w:val="single" w:sz="4" w:space="0" w:color="auto"/>
            </w:tcBorders>
            <w:shd w:val="clear" w:color="auto" w:fill="auto"/>
            <w:noWrap/>
            <w:vAlign w:val="center"/>
            <w:hideMark/>
          </w:tcPr>
          <w:p w14:paraId="31F67DE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252 035 €</w:t>
            </w:r>
          </w:p>
        </w:tc>
        <w:tc>
          <w:tcPr>
            <w:tcW w:w="1134" w:type="dxa"/>
            <w:tcBorders>
              <w:top w:val="nil"/>
              <w:left w:val="nil"/>
              <w:bottom w:val="single" w:sz="4" w:space="0" w:color="auto"/>
              <w:right w:val="single" w:sz="4" w:space="0" w:color="auto"/>
            </w:tcBorders>
            <w:shd w:val="clear" w:color="auto" w:fill="auto"/>
            <w:noWrap/>
            <w:vAlign w:val="center"/>
            <w:hideMark/>
          </w:tcPr>
          <w:p w14:paraId="5849F8C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28D940DC"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25 857 €</w:t>
            </w:r>
          </w:p>
        </w:tc>
        <w:tc>
          <w:tcPr>
            <w:tcW w:w="1276" w:type="dxa"/>
            <w:tcBorders>
              <w:top w:val="nil"/>
              <w:left w:val="nil"/>
              <w:bottom w:val="single" w:sz="4" w:space="0" w:color="auto"/>
              <w:right w:val="single" w:sz="4" w:space="0" w:color="auto"/>
            </w:tcBorders>
            <w:shd w:val="clear" w:color="auto" w:fill="auto"/>
            <w:noWrap/>
            <w:vAlign w:val="center"/>
            <w:hideMark/>
          </w:tcPr>
          <w:p w14:paraId="319A009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226 178 €</w:t>
            </w:r>
          </w:p>
        </w:tc>
      </w:tr>
      <w:tr w:rsidR="00CD3D80" w:rsidRPr="00CD3D80" w14:paraId="09B8F9AE" w14:textId="77777777" w:rsidTr="00A5553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169BD04"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2</w:t>
            </w:r>
          </w:p>
        </w:tc>
        <w:tc>
          <w:tcPr>
            <w:tcW w:w="2132" w:type="dxa"/>
            <w:tcBorders>
              <w:top w:val="nil"/>
              <w:left w:val="nil"/>
              <w:bottom w:val="single" w:sz="4" w:space="0" w:color="auto"/>
              <w:right w:val="single" w:sz="4" w:space="0" w:color="auto"/>
            </w:tcBorders>
            <w:shd w:val="clear" w:color="auto" w:fill="auto"/>
            <w:vAlign w:val="center"/>
            <w:hideMark/>
          </w:tcPr>
          <w:p w14:paraId="00852DFB"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PII Randa renovācija</w:t>
            </w:r>
          </w:p>
        </w:tc>
        <w:tc>
          <w:tcPr>
            <w:tcW w:w="1275" w:type="dxa"/>
            <w:tcBorders>
              <w:top w:val="nil"/>
              <w:left w:val="nil"/>
              <w:bottom w:val="single" w:sz="4" w:space="0" w:color="auto"/>
              <w:right w:val="single" w:sz="4" w:space="0" w:color="auto"/>
            </w:tcBorders>
            <w:shd w:val="clear" w:color="auto" w:fill="auto"/>
            <w:noWrap/>
            <w:vAlign w:val="center"/>
            <w:hideMark/>
          </w:tcPr>
          <w:p w14:paraId="10419C7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04.11.2005.</w:t>
            </w:r>
          </w:p>
        </w:tc>
        <w:tc>
          <w:tcPr>
            <w:tcW w:w="1276" w:type="dxa"/>
            <w:tcBorders>
              <w:top w:val="nil"/>
              <w:left w:val="nil"/>
              <w:bottom w:val="single" w:sz="4" w:space="0" w:color="auto"/>
              <w:right w:val="single" w:sz="4" w:space="0" w:color="auto"/>
            </w:tcBorders>
            <w:shd w:val="clear" w:color="auto" w:fill="auto"/>
            <w:noWrap/>
            <w:vAlign w:val="center"/>
            <w:hideMark/>
          </w:tcPr>
          <w:p w14:paraId="401CA0D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20.01.2025.</w:t>
            </w:r>
          </w:p>
        </w:tc>
        <w:tc>
          <w:tcPr>
            <w:tcW w:w="1276" w:type="dxa"/>
            <w:tcBorders>
              <w:top w:val="nil"/>
              <w:left w:val="nil"/>
              <w:bottom w:val="single" w:sz="4" w:space="0" w:color="auto"/>
              <w:right w:val="single" w:sz="4" w:space="0" w:color="auto"/>
            </w:tcBorders>
            <w:shd w:val="clear" w:color="auto" w:fill="auto"/>
            <w:noWrap/>
            <w:vAlign w:val="center"/>
            <w:hideMark/>
          </w:tcPr>
          <w:p w14:paraId="2552C65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73 107 €</w:t>
            </w:r>
          </w:p>
        </w:tc>
        <w:tc>
          <w:tcPr>
            <w:tcW w:w="1134" w:type="dxa"/>
            <w:tcBorders>
              <w:top w:val="nil"/>
              <w:left w:val="nil"/>
              <w:bottom w:val="single" w:sz="4" w:space="0" w:color="auto"/>
              <w:right w:val="single" w:sz="4" w:space="0" w:color="auto"/>
            </w:tcBorders>
            <w:shd w:val="clear" w:color="auto" w:fill="auto"/>
            <w:noWrap/>
            <w:vAlign w:val="center"/>
            <w:hideMark/>
          </w:tcPr>
          <w:p w14:paraId="738EAC6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4378ADE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11 725 €</w:t>
            </w:r>
          </w:p>
        </w:tc>
        <w:tc>
          <w:tcPr>
            <w:tcW w:w="1276" w:type="dxa"/>
            <w:tcBorders>
              <w:top w:val="nil"/>
              <w:left w:val="nil"/>
              <w:bottom w:val="single" w:sz="4" w:space="0" w:color="auto"/>
              <w:right w:val="single" w:sz="4" w:space="0" w:color="auto"/>
            </w:tcBorders>
            <w:shd w:val="clear" w:color="auto" w:fill="auto"/>
            <w:noWrap/>
            <w:vAlign w:val="center"/>
            <w:hideMark/>
          </w:tcPr>
          <w:p w14:paraId="07B36F1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61 382 €</w:t>
            </w:r>
          </w:p>
        </w:tc>
      </w:tr>
      <w:tr w:rsidR="00CD3D80" w:rsidRPr="00CD3D80" w14:paraId="175039C8" w14:textId="77777777" w:rsidTr="00A5553B">
        <w:trPr>
          <w:trHeight w:val="18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4F5085"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3</w:t>
            </w:r>
          </w:p>
        </w:tc>
        <w:tc>
          <w:tcPr>
            <w:tcW w:w="2132" w:type="dxa"/>
            <w:tcBorders>
              <w:top w:val="nil"/>
              <w:left w:val="nil"/>
              <w:bottom w:val="single" w:sz="4" w:space="0" w:color="auto"/>
              <w:right w:val="single" w:sz="4" w:space="0" w:color="auto"/>
            </w:tcBorders>
            <w:shd w:val="clear" w:color="auto" w:fill="auto"/>
            <w:vAlign w:val="center"/>
            <w:hideMark/>
          </w:tcPr>
          <w:p w14:paraId="35D0BCA8"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KPFI projekta "Siltumnīcefekta gāzu emisijas samazināšana Salacgrīvas novada pašvaldības publisko teritoriju apgaismojuma infrastruktūrā" īstenošanai</w:t>
            </w:r>
          </w:p>
        </w:tc>
        <w:tc>
          <w:tcPr>
            <w:tcW w:w="1275" w:type="dxa"/>
            <w:tcBorders>
              <w:top w:val="nil"/>
              <w:left w:val="nil"/>
              <w:bottom w:val="single" w:sz="4" w:space="0" w:color="auto"/>
              <w:right w:val="single" w:sz="4" w:space="0" w:color="auto"/>
            </w:tcBorders>
            <w:shd w:val="clear" w:color="auto" w:fill="auto"/>
            <w:noWrap/>
            <w:vAlign w:val="center"/>
            <w:hideMark/>
          </w:tcPr>
          <w:p w14:paraId="23E257A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21.05.2015.</w:t>
            </w:r>
          </w:p>
        </w:tc>
        <w:tc>
          <w:tcPr>
            <w:tcW w:w="1276" w:type="dxa"/>
            <w:tcBorders>
              <w:top w:val="nil"/>
              <w:left w:val="nil"/>
              <w:bottom w:val="single" w:sz="4" w:space="0" w:color="auto"/>
              <w:right w:val="single" w:sz="4" w:space="0" w:color="auto"/>
            </w:tcBorders>
            <w:shd w:val="clear" w:color="auto" w:fill="auto"/>
            <w:noWrap/>
            <w:vAlign w:val="center"/>
            <w:hideMark/>
          </w:tcPr>
          <w:p w14:paraId="3D49FE68"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20.05.2035.</w:t>
            </w:r>
          </w:p>
        </w:tc>
        <w:tc>
          <w:tcPr>
            <w:tcW w:w="1276" w:type="dxa"/>
            <w:tcBorders>
              <w:top w:val="nil"/>
              <w:left w:val="nil"/>
              <w:bottom w:val="single" w:sz="4" w:space="0" w:color="auto"/>
              <w:right w:val="single" w:sz="4" w:space="0" w:color="auto"/>
            </w:tcBorders>
            <w:shd w:val="clear" w:color="auto" w:fill="auto"/>
            <w:noWrap/>
            <w:vAlign w:val="center"/>
            <w:hideMark/>
          </w:tcPr>
          <w:p w14:paraId="5AB1B9F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50 334 €</w:t>
            </w:r>
          </w:p>
        </w:tc>
        <w:tc>
          <w:tcPr>
            <w:tcW w:w="1134" w:type="dxa"/>
            <w:tcBorders>
              <w:top w:val="nil"/>
              <w:left w:val="nil"/>
              <w:bottom w:val="single" w:sz="4" w:space="0" w:color="auto"/>
              <w:right w:val="single" w:sz="4" w:space="0" w:color="auto"/>
            </w:tcBorders>
            <w:shd w:val="clear" w:color="auto" w:fill="auto"/>
            <w:noWrap/>
            <w:vAlign w:val="center"/>
            <w:hideMark/>
          </w:tcPr>
          <w:p w14:paraId="6F381EEE"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5707875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3 029 €</w:t>
            </w:r>
          </w:p>
        </w:tc>
        <w:tc>
          <w:tcPr>
            <w:tcW w:w="1276" w:type="dxa"/>
            <w:tcBorders>
              <w:top w:val="nil"/>
              <w:left w:val="nil"/>
              <w:bottom w:val="single" w:sz="4" w:space="0" w:color="auto"/>
              <w:right w:val="single" w:sz="4" w:space="0" w:color="auto"/>
            </w:tcBorders>
            <w:shd w:val="clear" w:color="auto" w:fill="auto"/>
            <w:noWrap/>
            <w:vAlign w:val="center"/>
            <w:hideMark/>
          </w:tcPr>
          <w:p w14:paraId="56E12B8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47 305 €</w:t>
            </w:r>
          </w:p>
        </w:tc>
      </w:tr>
      <w:tr w:rsidR="00CD3D80" w:rsidRPr="00CD3D80" w14:paraId="390DD69F" w14:textId="77777777" w:rsidTr="00A5553B">
        <w:trPr>
          <w:trHeight w:val="15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C56FAA"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4</w:t>
            </w:r>
          </w:p>
        </w:tc>
        <w:tc>
          <w:tcPr>
            <w:tcW w:w="2132" w:type="dxa"/>
            <w:tcBorders>
              <w:top w:val="nil"/>
              <w:left w:val="nil"/>
              <w:bottom w:val="single" w:sz="4" w:space="0" w:color="auto"/>
              <w:right w:val="single" w:sz="4" w:space="0" w:color="auto"/>
            </w:tcBorders>
            <w:shd w:val="clear" w:color="auto" w:fill="auto"/>
            <w:vAlign w:val="center"/>
            <w:hideMark/>
          </w:tcPr>
          <w:p w14:paraId="6059CDEF"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SIA "Salacgrīvas ūdens" pamatkapitālā palielināšanai ERAF projektu īstenošanai Svētciemā, Vecsalacā, Korģenē un Ainažu pilsētā</w:t>
            </w:r>
          </w:p>
        </w:tc>
        <w:tc>
          <w:tcPr>
            <w:tcW w:w="1275" w:type="dxa"/>
            <w:tcBorders>
              <w:top w:val="nil"/>
              <w:left w:val="nil"/>
              <w:bottom w:val="single" w:sz="4" w:space="0" w:color="auto"/>
              <w:right w:val="single" w:sz="4" w:space="0" w:color="auto"/>
            </w:tcBorders>
            <w:shd w:val="clear" w:color="auto" w:fill="auto"/>
            <w:noWrap/>
            <w:vAlign w:val="center"/>
            <w:hideMark/>
          </w:tcPr>
          <w:p w14:paraId="703E295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21.08.2015.</w:t>
            </w:r>
          </w:p>
        </w:tc>
        <w:tc>
          <w:tcPr>
            <w:tcW w:w="1276" w:type="dxa"/>
            <w:tcBorders>
              <w:top w:val="nil"/>
              <w:left w:val="nil"/>
              <w:bottom w:val="single" w:sz="4" w:space="0" w:color="auto"/>
              <w:right w:val="single" w:sz="4" w:space="0" w:color="auto"/>
            </w:tcBorders>
            <w:shd w:val="clear" w:color="auto" w:fill="auto"/>
            <w:noWrap/>
            <w:vAlign w:val="center"/>
            <w:hideMark/>
          </w:tcPr>
          <w:p w14:paraId="1BC5789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20.08.2035.</w:t>
            </w:r>
          </w:p>
        </w:tc>
        <w:tc>
          <w:tcPr>
            <w:tcW w:w="1276" w:type="dxa"/>
            <w:tcBorders>
              <w:top w:val="nil"/>
              <w:left w:val="nil"/>
              <w:bottom w:val="single" w:sz="4" w:space="0" w:color="auto"/>
              <w:right w:val="single" w:sz="4" w:space="0" w:color="auto"/>
            </w:tcBorders>
            <w:shd w:val="clear" w:color="auto" w:fill="auto"/>
            <w:noWrap/>
            <w:vAlign w:val="center"/>
            <w:hideMark/>
          </w:tcPr>
          <w:p w14:paraId="01B07F3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244 684 €</w:t>
            </w:r>
          </w:p>
        </w:tc>
        <w:tc>
          <w:tcPr>
            <w:tcW w:w="1134" w:type="dxa"/>
            <w:tcBorders>
              <w:top w:val="nil"/>
              <w:left w:val="nil"/>
              <w:bottom w:val="single" w:sz="4" w:space="0" w:color="auto"/>
              <w:right w:val="single" w:sz="4" w:space="0" w:color="auto"/>
            </w:tcBorders>
            <w:shd w:val="clear" w:color="auto" w:fill="auto"/>
            <w:noWrap/>
            <w:vAlign w:val="center"/>
            <w:hideMark/>
          </w:tcPr>
          <w:p w14:paraId="6B0C4D1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51F5965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14 608 €</w:t>
            </w:r>
          </w:p>
        </w:tc>
        <w:tc>
          <w:tcPr>
            <w:tcW w:w="1276" w:type="dxa"/>
            <w:tcBorders>
              <w:top w:val="nil"/>
              <w:left w:val="nil"/>
              <w:bottom w:val="single" w:sz="4" w:space="0" w:color="auto"/>
              <w:right w:val="single" w:sz="4" w:space="0" w:color="auto"/>
            </w:tcBorders>
            <w:shd w:val="clear" w:color="auto" w:fill="auto"/>
            <w:noWrap/>
            <w:vAlign w:val="center"/>
            <w:hideMark/>
          </w:tcPr>
          <w:p w14:paraId="559465A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230 076 €</w:t>
            </w:r>
          </w:p>
        </w:tc>
      </w:tr>
      <w:tr w:rsidR="00CD3D80" w:rsidRPr="00CD3D80" w14:paraId="1A2743F6" w14:textId="77777777" w:rsidTr="00A5553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EF68C0"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5</w:t>
            </w:r>
          </w:p>
        </w:tc>
        <w:tc>
          <w:tcPr>
            <w:tcW w:w="2132" w:type="dxa"/>
            <w:tcBorders>
              <w:top w:val="nil"/>
              <w:left w:val="nil"/>
              <w:bottom w:val="single" w:sz="4" w:space="0" w:color="auto"/>
              <w:right w:val="single" w:sz="4" w:space="0" w:color="auto"/>
            </w:tcBorders>
            <w:shd w:val="clear" w:color="auto" w:fill="auto"/>
            <w:vAlign w:val="center"/>
            <w:hideMark/>
          </w:tcPr>
          <w:p w14:paraId="15928989"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Valmieras ielas atjaunošanai</w:t>
            </w:r>
          </w:p>
        </w:tc>
        <w:tc>
          <w:tcPr>
            <w:tcW w:w="1275" w:type="dxa"/>
            <w:tcBorders>
              <w:top w:val="nil"/>
              <w:left w:val="nil"/>
              <w:bottom w:val="single" w:sz="4" w:space="0" w:color="auto"/>
              <w:right w:val="single" w:sz="4" w:space="0" w:color="auto"/>
            </w:tcBorders>
            <w:shd w:val="clear" w:color="auto" w:fill="auto"/>
            <w:noWrap/>
            <w:vAlign w:val="center"/>
            <w:hideMark/>
          </w:tcPr>
          <w:p w14:paraId="31B302F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05.07.2016.</w:t>
            </w:r>
          </w:p>
        </w:tc>
        <w:tc>
          <w:tcPr>
            <w:tcW w:w="1276" w:type="dxa"/>
            <w:tcBorders>
              <w:top w:val="nil"/>
              <w:left w:val="nil"/>
              <w:bottom w:val="single" w:sz="4" w:space="0" w:color="auto"/>
              <w:right w:val="single" w:sz="4" w:space="0" w:color="auto"/>
            </w:tcBorders>
            <w:shd w:val="clear" w:color="auto" w:fill="auto"/>
            <w:noWrap/>
            <w:vAlign w:val="center"/>
            <w:hideMark/>
          </w:tcPr>
          <w:p w14:paraId="3B84BDE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20.06.2036.</w:t>
            </w:r>
          </w:p>
        </w:tc>
        <w:tc>
          <w:tcPr>
            <w:tcW w:w="1276" w:type="dxa"/>
            <w:tcBorders>
              <w:top w:val="nil"/>
              <w:left w:val="nil"/>
              <w:bottom w:val="single" w:sz="4" w:space="0" w:color="auto"/>
              <w:right w:val="single" w:sz="4" w:space="0" w:color="auto"/>
            </w:tcBorders>
            <w:shd w:val="clear" w:color="auto" w:fill="auto"/>
            <w:noWrap/>
            <w:vAlign w:val="center"/>
            <w:hideMark/>
          </w:tcPr>
          <w:p w14:paraId="6E76256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158 830 €</w:t>
            </w:r>
          </w:p>
        </w:tc>
        <w:tc>
          <w:tcPr>
            <w:tcW w:w="1134" w:type="dxa"/>
            <w:tcBorders>
              <w:top w:val="nil"/>
              <w:left w:val="nil"/>
              <w:bottom w:val="single" w:sz="4" w:space="0" w:color="auto"/>
              <w:right w:val="single" w:sz="4" w:space="0" w:color="auto"/>
            </w:tcBorders>
            <w:shd w:val="clear" w:color="auto" w:fill="auto"/>
            <w:noWrap/>
            <w:vAlign w:val="center"/>
            <w:hideMark/>
          </w:tcPr>
          <w:p w14:paraId="4585BC2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368F246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9 076 €</w:t>
            </w:r>
          </w:p>
        </w:tc>
        <w:tc>
          <w:tcPr>
            <w:tcW w:w="1276" w:type="dxa"/>
            <w:tcBorders>
              <w:top w:val="nil"/>
              <w:left w:val="nil"/>
              <w:bottom w:val="single" w:sz="4" w:space="0" w:color="auto"/>
              <w:right w:val="single" w:sz="4" w:space="0" w:color="auto"/>
            </w:tcBorders>
            <w:shd w:val="clear" w:color="auto" w:fill="auto"/>
            <w:noWrap/>
            <w:vAlign w:val="center"/>
            <w:hideMark/>
          </w:tcPr>
          <w:p w14:paraId="2C74DBF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149 754 €</w:t>
            </w:r>
          </w:p>
        </w:tc>
      </w:tr>
      <w:tr w:rsidR="00CD3D80" w:rsidRPr="00CD3D80" w14:paraId="12996D0F" w14:textId="77777777" w:rsidTr="00A5553B">
        <w:trPr>
          <w:trHeight w:val="74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F66F4C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6</w:t>
            </w:r>
          </w:p>
        </w:tc>
        <w:tc>
          <w:tcPr>
            <w:tcW w:w="2132" w:type="dxa"/>
            <w:tcBorders>
              <w:top w:val="nil"/>
              <w:left w:val="nil"/>
              <w:bottom w:val="single" w:sz="4" w:space="0" w:color="auto"/>
              <w:right w:val="single" w:sz="4" w:space="0" w:color="auto"/>
            </w:tcBorders>
            <w:shd w:val="clear" w:color="auto" w:fill="auto"/>
            <w:vAlign w:val="center"/>
            <w:hideMark/>
          </w:tcPr>
          <w:p w14:paraId="5BCA64C4"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Autotransporta iegādei pašvaldības autonomo funkciju veikšanai</w:t>
            </w:r>
          </w:p>
        </w:tc>
        <w:tc>
          <w:tcPr>
            <w:tcW w:w="1275" w:type="dxa"/>
            <w:tcBorders>
              <w:top w:val="nil"/>
              <w:left w:val="nil"/>
              <w:bottom w:val="single" w:sz="4" w:space="0" w:color="auto"/>
              <w:right w:val="single" w:sz="4" w:space="0" w:color="auto"/>
            </w:tcBorders>
            <w:shd w:val="clear" w:color="auto" w:fill="auto"/>
            <w:noWrap/>
            <w:vAlign w:val="center"/>
            <w:hideMark/>
          </w:tcPr>
          <w:p w14:paraId="7E889CA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22.07.2016.</w:t>
            </w:r>
          </w:p>
        </w:tc>
        <w:tc>
          <w:tcPr>
            <w:tcW w:w="1276" w:type="dxa"/>
            <w:tcBorders>
              <w:top w:val="nil"/>
              <w:left w:val="nil"/>
              <w:bottom w:val="single" w:sz="4" w:space="0" w:color="auto"/>
              <w:right w:val="single" w:sz="4" w:space="0" w:color="auto"/>
            </w:tcBorders>
            <w:shd w:val="clear" w:color="auto" w:fill="auto"/>
            <w:noWrap/>
            <w:vAlign w:val="center"/>
            <w:hideMark/>
          </w:tcPr>
          <w:p w14:paraId="59ED95C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20.07.2023.</w:t>
            </w:r>
          </w:p>
        </w:tc>
        <w:tc>
          <w:tcPr>
            <w:tcW w:w="1276" w:type="dxa"/>
            <w:tcBorders>
              <w:top w:val="nil"/>
              <w:left w:val="nil"/>
              <w:bottom w:val="single" w:sz="4" w:space="0" w:color="auto"/>
              <w:right w:val="single" w:sz="4" w:space="0" w:color="auto"/>
            </w:tcBorders>
            <w:shd w:val="clear" w:color="auto" w:fill="auto"/>
            <w:noWrap/>
            <w:vAlign w:val="center"/>
            <w:hideMark/>
          </w:tcPr>
          <w:p w14:paraId="0A9772EC"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96 045 €</w:t>
            </w:r>
          </w:p>
        </w:tc>
        <w:tc>
          <w:tcPr>
            <w:tcW w:w="1134" w:type="dxa"/>
            <w:tcBorders>
              <w:top w:val="nil"/>
              <w:left w:val="nil"/>
              <w:bottom w:val="single" w:sz="4" w:space="0" w:color="auto"/>
              <w:right w:val="single" w:sz="4" w:space="0" w:color="auto"/>
            </w:tcBorders>
            <w:shd w:val="clear" w:color="auto" w:fill="auto"/>
            <w:noWrap/>
            <w:vAlign w:val="center"/>
            <w:hideMark/>
          </w:tcPr>
          <w:p w14:paraId="6F207EB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4CAAB23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20 220 €</w:t>
            </w:r>
          </w:p>
        </w:tc>
        <w:tc>
          <w:tcPr>
            <w:tcW w:w="1276" w:type="dxa"/>
            <w:tcBorders>
              <w:top w:val="nil"/>
              <w:left w:val="nil"/>
              <w:bottom w:val="single" w:sz="4" w:space="0" w:color="auto"/>
              <w:right w:val="single" w:sz="4" w:space="0" w:color="auto"/>
            </w:tcBorders>
            <w:shd w:val="clear" w:color="auto" w:fill="auto"/>
            <w:noWrap/>
            <w:vAlign w:val="center"/>
            <w:hideMark/>
          </w:tcPr>
          <w:p w14:paraId="4B83993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75 825 €</w:t>
            </w:r>
          </w:p>
        </w:tc>
      </w:tr>
      <w:tr w:rsidR="00CD3D80" w:rsidRPr="00CD3D80" w14:paraId="1AA1AEA5" w14:textId="77777777" w:rsidTr="00A5553B">
        <w:trPr>
          <w:trHeight w:val="6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2F99405"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7</w:t>
            </w:r>
          </w:p>
        </w:tc>
        <w:tc>
          <w:tcPr>
            <w:tcW w:w="2132" w:type="dxa"/>
            <w:tcBorders>
              <w:top w:val="nil"/>
              <w:left w:val="nil"/>
              <w:bottom w:val="single" w:sz="4" w:space="0" w:color="auto"/>
              <w:right w:val="single" w:sz="4" w:space="0" w:color="auto"/>
            </w:tcBorders>
            <w:shd w:val="clear" w:color="auto" w:fill="auto"/>
            <w:vAlign w:val="center"/>
            <w:hideMark/>
          </w:tcPr>
          <w:p w14:paraId="5BB046CD"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Salacgrīvas pilsētas Rīgas ielas pārbūve</w:t>
            </w:r>
          </w:p>
        </w:tc>
        <w:tc>
          <w:tcPr>
            <w:tcW w:w="1275" w:type="dxa"/>
            <w:tcBorders>
              <w:top w:val="nil"/>
              <w:left w:val="nil"/>
              <w:bottom w:val="single" w:sz="4" w:space="0" w:color="auto"/>
              <w:right w:val="single" w:sz="4" w:space="0" w:color="auto"/>
            </w:tcBorders>
            <w:shd w:val="clear" w:color="auto" w:fill="auto"/>
            <w:noWrap/>
            <w:vAlign w:val="center"/>
            <w:hideMark/>
          </w:tcPr>
          <w:p w14:paraId="14990F27"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11.05.2017.</w:t>
            </w:r>
          </w:p>
        </w:tc>
        <w:tc>
          <w:tcPr>
            <w:tcW w:w="1276" w:type="dxa"/>
            <w:tcBorders>
              <w:top w:val="nil"/>
              <w:left w:val="nil"/>
              <w:bottom w:val="single" w:sz="4" w:space="0" w:color="auto"/>
              <w:right w:val="single" w:sz="4" w:space="0" w:color="auto"/>
            </w:tcBorders>
            <w:shd w:val="clear" w:color="auto" w:fill="auto"/>
            <w:noWrap/>
            <w:vAlign w:val="center"/>
            <w:hideMark/>
          </w:tcPr>
          <w:p w14:paraId="4EE6F521"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20.05.2037.</w:t>
            </w:r>
          </w:p>
        </w:tc>
        <w:tc>
          <w:tcPr>
            <w:tcW w:w="1276" w:type="dxa"/>
            <w:tcBorders>
              <w:top w:val="nil"/>
              <w:left w:val="nil"/>
              <w:bottom w:val="single" w:sz="4" w:space="0" w:color="auto"/>
              <w:right w:val="single" w:sz="4" w:space="0" w:color="auto"/>
            </w:tcBorders>
            <w:shd w:val="clear" w:color="auto" w:fill="auto"/>
            <w:noWrap/>
            <w:vAlign w:val="center"/>
            <w:hideMark/>
          </w:tcPr>
          <w:p w14:paraId="0D56C20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132 292 €</w:t>
            </w:r>
          </w:p>
        </w:tc>
        <w:tc>
          <w:tcPr>
            <w:tcW w:w="1134" w:type="dxa"/>
            <w:tcBorders>
              <w:top w:val="nil"/>
              <w:left w:val="nil"/>
              <w:bottom w:val="single" w:sz="4" w:space="0" w:color="auto"/>
              <w:right w:val="single" w:sz="4" w:space="0" w:color="auto"/>
            </w:tcBorders>
            <w:shd w:val="clear" w:color="auto" w:fill="auto"/>
            <w:noWrap/>
            <w:vAlign w:val="center"/>
            <w:hideMark/>
          </w:tcPr>
          <w:p w14:paraId="545EC54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52C4531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7 132 €</w:t>
            </w:r>
          </w:p>
        </w:tc>
        <w:tc>
          <w:tcPr>
            <w:tcW w:w="1276" w:type="dxa"/>
            <w:tcBorders>
              <w:top w:val="nil"/>
              <w:left w:val="nil"/>
              <w:bottom w:val="single" w:sz="4" w:space="0" w:color="auto"/>
              <w:right w:val="single" w:sz="4" w:space="0" w:color="auto"/>
            </w:tcBorders>
            <w:shd w:val="clear" w:color="auto" w:fill="auto"/>
            <w:noWrap/>
            <w:vAlign w:val="center"/>
            <w:hideMark/>
          </w:tcPr>
          <w:p w14:paraId="50B3BE8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125 160 €</w:t>
            </w:r>
          </w:p>
        </w:tc>
      </w:tr>
      <w:tr w:rsidR="00CD3D80" w:rsidRPr="00CD3D80" w14:paraId="3317BE8A" w14:textId="77777777" w:rsidTr="00A5553B">
        <w:trPr>
          <w:trHeight w:val="77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B5A2B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8</w:t>
            </w:r>
          </w:p>
        </w:tc>
        <w:tc>
          <w:tcPr>
            <w:tcW w:w="2132" w:type="dxa"/>
            <w:tcBorders>
              <w:top w:val="nil"/>
              <w:left w:val="nil"/>
              <w:bottom w:val="single" w:sz="4" w:space="0" w:color="auto"/>
              <w:right w:val="single" w:sz="4" w:space="0" w:color="auto"/>
            </w:tcBorders>
            <w:shd w:val="clear" w:color="auto" w:fill="auto"/>
            <w:vAlign w:val="center"/>
            <w:hideMark/>
          </w:tcPr>
          <w:p w14:paraId="1E3132B6"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ELFLA projekts "Vieta pozitīvām emocijām" realizēšanai</w:t>
            </w:r>
          </w:p>
        </w:tc>
        <w:tc>
          <w:tcPr>
            <w:tcW w:w="1275" w:type="dxa"/>
            <w:tcBorders>
              <w:top w:val="nil"/>
              <w:left w:val="nil"/>
              <w:bottom w:val="single" w:sz="4" w:space="0" w:color="auto"/>
              <w:right w:val="single" w:sz="4" w:space="0" w:color="auto"/>
            </w:tcBorders>
            <w:shd w:val="clear" w:color="auto" w:fill="auto"/>
            <w:noWrap/>
            <w:vAlign w:val="center"/>
            <w:hideMark/>
          </w:tcPr>
          <w:p w14:paraId="607321DE"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14.07.2017.</w:t>
            </w:r>
          </w:p>
        </w:tc>
        <w:tc>
          <w:tcPr>
            <w:tcW w:w="1276" w:type="dxa"/>
            <w:tcBorders>
              <w:top w:val="nil"/>
              <w:left w:val="nil"/>
              <w:bottom w:val="single" w:sz="4" w:space="0" w:color="auto"/>
              <w:right w:val="single" w:sz="4" w:space="0" w:color="auto"/>
            </w:tcBorders>
            <w:shd w:val="clear" w:color="auto" w:fill="auto"/>
            <w:noWrap/>
            <w:vAlign w:val="center"/>
            <w:hideMark/>
          </w:tcPr>
          <w:p w14:paraId="3BE732DE"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22.07.2022.</w:t>
            </w:r>
          </w:p>
        </w:tc>
        <w:tc>
          <w:tcPr>
            <w:tcW w:w="1276" w:type="dxa"/>
            <w:tcBorders>
              <w:top w:val="nil"/>
              <w:left w:val="nil"/>
              <w:bottom w:val="single" w:sz="4" w:space="0" w:color="auto"/>
              <w:right w:val="single" w:sz="4" w:space="0" w:color="auto"/>
            </w:tcBorders>
            <w:shd w:val="clear" w:color="auto" w:fill="auto"/>
            <w:noWrap/>
            <w:vAlign w:val="center"/>
            <w:hideMark/>
          </w:tcPr>
          <w:p w14:paraId="2F9733BC"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17 010 €</w:t>
            </w:r>
          </w:p>
        </w:tc>
        <w:tc>
          <w:tcPr>
            <w:tcW w:w="1134" w:type="dxa"/>
            <w:tcBorders>
              <w:top w:val="nil"/>
              <w:left w:val="nil"/>
              <w:bottom w:val="single" w:sz="4" w:space="0" w:color="auto"/>
              <w:right w:val="single" w:sz="4" w:space="0" w:color="auto"/>
            </w:tcBorders>
            <w:shd w:val="clear" w:color="auto" w:fill="auto"/>
            <w:noWrap/>
            <w:vAlign w:val="center"/>
            <w:hideMark/>
          </w:tcPr>
          <w:p w14:paraId="56A878E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18332C4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4 536 €</w:t>
            </w:r>
          </w:p>
        </w:tc>
        <w:tc>
          <w:tcPr>
            <w:tcW w:w="1276" w:type="dxa"/>
            <w:tcBorders>
              <w:top w:val="nil"/>
              <w:left w:val="nil"/>
              <w:bottom w:val="single" w:sz="4" w:space="0" w:color="auto"/>
              <w:right w:val="single" w:sz="4" w:space="0" w:color="auto"/>
            </w:tcBorders>
            <w:shd w:val="clear" w:color="auto" w:fill="auto"/>
            <w:noWrap/>
            <w:vAlign w:val="center"/>
            <w:hideMark/>
          </w:tcPr>
          <w:p w14:paraId="7E3785D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12 474 €</w:t>
            </w:r>
          </w:p>
        </w:tc>
      </w:tr>
      <w:tr w:rsidR="00CD3D80" w:rsidRPr="00CD3D80" w14:paraId="7DDB6E4B" w14:textId="77777777" w:rsidTr="00A5553B">
        <w:trPr>
          <w:trHeight w:val="12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0F577CB"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9</w:t>
            </w:r>
          </w:p>
        </w:tc>
        <w:tc>
          <w:tcPr>
            <w:tcW w:w="2132" w:type="dxa"/>
            <w:tcBorders>
              <w:top w:val="nil"/>
              <w:left w:val="nil"/>
              <w:bottom w:val="single" w:sz="4" w:space="0" w:color="auto"/>
              <w:right w:val="single" w:sz="4" w:space="0" w:color="auto"/>
            </w:tcBorders>
            <w:shd w:val="clear" w:color="auto" w:fill="auto"/>
            <w:vAlign w:val="center"/>
            <w:hideMark/>
          </w:tcPr>
          <w:p w14:paraId="54018169"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Projekta "Ainažu pilsētas Jāņa Asara un Valdemāra ielu asfalta seguma atjaunošana" īstenošanai</w:t>
            </w:r>
          </w:p>
        </w:tc>
        <w:tc>
          <w:tcPr>
            <w:tcW w:w="1275" w:type="dxa"/>
            <w:tcBorders>
              <w:top w:val="nil"/>
              <w:left w:val="nil"/>
              <w:bottom w:val="single" w:sz="4" w:space="0" w:color="auto"/>
              <w:right w:val="single" w:sz="4" w:space="0" w:color="auto"/>
            </w:tcBorders>
            <w:shd w:val="clear" w:color="auto" w:fill="auto"/>
            <w:noWrap/>
            <w:vAlign w:val="center"/>
            <w:hideMark/>
          </w:tcPr>
          <w:p w14:paraId="58CE6ABE"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31.08.2017.</w:t>
            </w:r>
          </w:p>
        </w:tc>
        <w:tc>
          <w:tcPr>
            <w:tcW w:w="1276" w:type="dxa"/>
            <w:tcBorders>
              <w:top w:val="nil"/>
              <w:left w:val="nil"/>
              <w:bottom w:val="single" w:sz="4" w:space="0" w:color="auto"/>
              <w:right w:val="single" w:sz="4" w:space="0" w:color="auto"/>
            </w:tcBorders>
            <w:shd w:val="clear" w:color="auto" w:fill="auto"/>
            <w:noWrap/>
            <w:vAlign w:val="center"/>
            <w:hideMark/>
          </w:tcPr>
          <w:p w14:paraId="01E1CD7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20.08.2037.</w:t>
            </w:r>
          </w:p>
        </w:tc>
        <w:tc>
          <w:tcPr>
            <w:tcW w:w="1276" w:type="dxa"/>
            <w:tcBorders>
              <w:top w:val="nil"/>
              <w:left w:val="nil"/>
              <w:bottom w:val="single" w:sz="4" w:space="0" w:color="auto"/>
              <w:right w:val="single" w:sz="4" w:space="0" w:color="auto"/>
            </w:tcBorders>
            <w:shd w:val="clear" w:color="auto" w:fill="auto"/>
            <w:noWrap/>
            <w:vAlign w:val="center"/>
            <w:hideMark/>
          </w:tcPr>
          <w:p w14:paraId="4E9360C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40 200 €</w:t>
            </w:r>
          </w:p>
        </w:tc>
        <w:tc>
          <w:tcPr>
            <w:tcW w:w="1134" w:type="dxa"/>
            <w:tcBorders>
              <w:top w:val="nil"/>
              <w:left w:val="nil"/>
              <w:bottom w:val="single" w:sz="4" w:space="0" w:color="auto"/>
              <w:right w:val="single" w:sz="4" w:space="0" w:color="auto"/>
            </w:tcBorders>
            <w:shd w:val="clear" w:color="auto" w:fill="auto"/>
            <w:noWrap/>
            <w:vAlign w:val="center"/>
            <w:hideMark/>
          </w:tcPr>
          <w:p w14:paraId="06F3E43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55871ED8"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2 144 €</w:t>
            </w:r>
          </w:p>
        </w:tc>
        <w:tc>
          <w:tcPr>
            <w:tcW w:w="1276" w:type="dxa"/>
            <w:tcBorders>
              <w:top w:val="nil"/>
              <w:left w:val="nil"/>
              <w:bottom w:val="single" w:sz="4" w:space="0" w:color="auto"/>
              <w:right w:val="single" w:sz="4" w:space="0" w:color="auto"/>
            </w:tcBorders>
            <w:shd w:val="clear" w:color="auto" w:fill="auto"/>
            <w:noWrap/>
            <w:vAlign w:val="center"/>
            <w:hideMark/>
          </w:tcPr>
          <w:p w14:paraId="3BB730E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38 056 €</w:t>
            </w:r>
          </w:p>
        </w:tc>
      </w:tr>
      <w:tr w:rsidR="00CD3D80" w:rsidRPr="00CD3D80" w14:paraId="69399CC2" w14:textId="77777777" w:rsidTr="00A5553B">
        <w:trPr>
          <w:trHeight w:val="120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62340C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10</w:t>
            </w:r>
          </w:p>
        </w:tc>
        <w:tc>
          <w:tcPr>
            <w:tcW w:w="2132" w:type="dxa"/>
            <w:tcBorders>
              <w:top w:val="nil"/>
              <w:left w:val="nil"/>
              <w:bottom w:val="single" w:sz="4" w:space="0" w:color="auto"/>
              <w:right w:val="single" w:sz="4" w:space="0" w:color="auto"/>
            </w:tcBorders>
            <w:shd w:val="clear" w:color="auto" w:fill="auto"/>
            <w:vAlign w:val="center"/>
            <w:hideMark/>
          </w:tcPr>
          <w:p w14:paraId="71793D80"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Ceļu un to kompleksa investīciju projekta "Ielu apgaismojuma izbūve Salacgrīvas novadā" īstenošanai</w:t>
            </w:r>
          </w:p>
        </w:tc>
        <w:tc>
          <w:tcPr>
            <w:tcW w:w="1275" w:type="dxa"/>
            <w:tcBorders>
              <w:top w:val="nil"/>
              <w:left w:val="nil"/>
              <w:bottom w:val="single" w:sz="4" w:space="0" w:color="auto"/>
              <w:right w:val="single" w:sz="4" w:space="0" w:color="auto"/>
            </w:tcBorders>
            <w:shd w:val="clear" w:color="auto" w:fill="auto"/>
            <w:noWrap/>
            <w:vAlign w:val="center"/>
            <w:hideMark/>
          </w:tcPr>
          <w:p w14:paraId="5339599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23.05.2018.</w:t>
            </w:r>
          </w:p>
        </w:tc>
        <w:tc>
          <w:tcPr>
            <w:tcW w:w="1276" w:type="dxa"/>
            <w:tcBorders>
              <w:top w:val="nil"/>
              <w:left w:val="nil"/>
              <w:bottom w:val="single" w:sz="4" w:space="0" w:color="auto"/>
              <w:right w:val="single" w:sz="4" w:space="0" w:color="auto"/>
            </w:tcBorders>
            <w:shd w:val="clear" w:color="auto" w:fill="auto"/>
            <w:noWrap/>
            <w:vAlign w:val="center"/>
            <w:hideMark/>
          </w:tcPr>
          <w:p w14:paraId="5A2E42D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20.05.2038.</w:t>
            </w:r>
          </w:p>
        </w:tc>
        <w:tc>
          <w:tcPr>
            <w:tcW w:w="1276" w:type="dxa"/>
            <w:tcBorders>
              <w:top w:val="nil"/>
              <w:left w:val="nil"/>
              <w:bottom w:val="single" w:sz="4" w:space="0" w:color="auto"/>
              <w:right w:val="single" w:sz="4" w:space="0" w:color="auto"/>
            </w:tcBorders>
            <w:shd w:val="clear" w:color="auto" w:fill="auto"/>
            <w:noWrap/>
            <w:vAlign w:val="center"/>
            <w:hideMark/>
          </w:tcPr>
          <w:p w14:paraId="3BC6A478"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60 175 €</w:t>
            </w:r>
          </w:p>
        </w:tc>
        <w:tc>
          <w:tcPr>
            <w:tcW w:w="1134" w:type="dxa"/>
            <w:tcBorders>
              <w:top w:val="nil"/>
              <w:left w:val="nil"/>
              <w:bottom w:val="single" w:sz="4" w:space="0" w:color="auto"/>
              <w:right w:val="single" w:sz="4" w:space="0" w:color="auto"/>
            </w:tcBorders>
            <w:shd w:val="clear" w:color="auto" w:fill="auto"/>
            <w:noWrap/>
            <w:vAlign w:val="center"/>
            <w:hideMark/>
          </w:tcPr>
          <w:p w14:paraId="4EA0672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7AA35CD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2 307 €</w:t>
            </w:r>
          </w:p>
        </w:tc>
        <w:tc>
          <w:tcPr>
            <w:tcW w:w="1276" w:type="dxa"/>
            <w:tcBorders>
              <w:top w:val="nil"/>
              <w:left w:val="nil"/>
              <w:bottom w:val="single" w:sz="4" w:space="0" w:color="auto"/>
              <w:right w:val="single" w:sz="4" w:space="0" w:color="auto"/>
            </w:tcBorders>
            <w:shd w:val="clear" w:color="auto" w:fill="auto"/>
            <w:noWrap/>
            <w:vAlign w:val="center"/>
            <w:hideMark/>
          </w:tcPr>
          <w:p w14:paraId="682EDF4E"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57 868 €</w:t>
            </w:r>
          </w:p>
        </w:tc>
      </w:tr>
      <w:tr w:rsidR="00CD3D80" w:rsidRPr="00CD3D80" w14:paraId="46B56A9B" w14:textId="77777777" w:rsidTr="00A5553B">
        <w:trPr>
          <w:trHeight w:val="15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23FAE1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13</w:t>
            </w:r>
          </w:p>
        </w:tc>
        <w:tc>
          <w:tcPr>
            <w:tcW w:w="2132" w:type="dxa"/>
            <w:tcBorders>
              <w:top w:val="nil"/>
              <w:left w:val="nil"/>
              <w:bottom w:val="single" w:sz="4" w:space="0" w:color="auto"/>
              <w:right w:val="single" w:sz="4" w:space="0" w:color="auto"/>
            </w:tcBorders>
            <w:shd w:val="clear" w:color="auto" w:fill="auto"/>
            <w:vAlign w:val="center"/>
            <w:hideMark/>
          </w:tcPr>
          <w:p w14:paraId="4007A777"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Līdzfinansējuma nodrošināšana EJZF projekta "Kultūras mantojuma saglabāšana Zvejnieku parkā" īstenošanai</w:t>
            </w:r>
          </w:p>
        </w:tc>
        <w:tc>
          <w:tcPr>
            <w:tcW w:w="1275" w:type="dxa"/>
            <w:tcBorders>
              <w:top w:val="nil"/>
              <w:left w:val="nil"/>
              <w:bottom w:val="single" w:sz="4" w:space="0" w:color="auto"/>
              <w:right w:val="single" w:sz="4" w:space="0" w:color="auto"/>
            </w:tcBorders>
            <w:shd w:val="clear" w:color="auto" w:fill="auto"/>
            <w:noWrap/>
            <w:vAlign w:val="center"/>
            <w:hideMark/>
          </w:tcPr>
          <w:p w14:paraId="00B04FA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29.06.2018.</w:t>
            </w:r>
          </w:p>
        </w:tc>
        <w:tc>
          <w:tcPr>
            <w:tcW w:w="1276" w:type="dxa"/>
            <w:tcBorders>
              <w:top w:val="nil"/>
              <w:left w:val="nil"/>
              <w:bottom w:val="single" w:sz="4" w:space="0" w:color="auto"/>
              <w:right w:val="single" w:sz="4" w:space="0" w:color="auto"/>
            </w:tcBorders>
            <w:shd w:val="clear" w:color="auto" w:fill="auto"/>
            <w:noWrap/>
            <w:vAlign w:val="center"/>
            <w:hideMark/>
          </w:tcPr>
          <w:p w14:paraId="06ECA83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20.06.2038.</w:t>
            </w:r>
          </w:p>
        </w:tc>
        <w:tc>
          <w:tcPr>
            <w:tcW w:w="1276" w:type="dxa"/>
            <w:tcBorders>
              <w:top w:val="nil"/>
              <w:left w:val="nil"/>
              <w:bottom w:val="single" w:sz="4" w:space="0" w:color="auto"/>
              <w:right w:val="single" w:sz="4" w:space="0" w:color="auto"/>
            </w:tcBorders>
            <w:shd w:val="clear" w:color="auto" w:fill="auto"/>
            <w:noWrap/>
            <w:vAlign w:val="center"/>
            <w:hideMark/>
          </w:tcPr>
          <w:p w14:paraId="3FFD103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53 840 €</w:t>
            </w:r>
          </w:p>
        </w:tc>
        <w:tc>
          <w:tcPr>
            <w:tcW w:w="1134" w:type="dxa"/>
            <w:tcBorders>
              <w:top w:val="nil"/>
              <w:left w:val="nil"/>
              <w:bottom w:val="single" w:sz="4" w:space="0" w:color="auto"/>
              <w:right w:val="single" w:sz="4" w:space="0" w:color="auto"/>
            </w:tcBorders>
            <w:shd w:val="clear" w:color="auto" w:fill="auto"/>
            <w:noWrap/>
            <w:vAlign w:val="center"/>
            <w:hideMark/>
          </w:tcPr>
          <w:p w14:paraId="6A638D4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082F614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2 040 €</w:t>
            </w:r>
          </w:p>
        </w:tc>
        <w:tc>
          <w:tcPr>
            <w:tcW w:w="1276" w:type="dxa"/>
            <w:tcBorders>
              <w:top w:val="nil"/>
              <w:left w:val="nil"/>
              <w:bottom w:val="single" w:sz="4" w:space="0" w:color="auto"/>
              <w:right w:val="single" w:sz="4" w:space="0" w:color="auto"/>
            </w:tcBorders>
            <w:shd w:val="clear" w:color="auto" w:fill="auto"/>
            <w:noWrap/>
            <w:vAlign w:val="center"/>
            <w:hideMark/>
          </w:tcPr>
          <w:p w14:paraId="1CB429D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51 800 €</w:t>
            </w:r>
          </w:p>
        </w:tc>
      </w:tr>
      <w:tr w:rsidR="00CD3D80" w:rsidRPr="00CD3D80" w14:paraId="185A9266" w14:textId="77777777" w:rsidTr="00A5553B">
        <w:trPr>
          <w:trHeight w:val="112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8C785D0"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lastRenderedPageBreak/>
              <w:t>Nr.p.k.</w:t>
            </w:r>
          </w:p>
        </w:tc>
        <w:tc>
          <w:tcPr>
            <w:tcW w:w="2132" w:type="dxa"/>
            <w:tcBorders>
              <w:top w:val="single" w:sz="4" w:space="0" w:color="auto"/>
              <w:left w:val="nil"/>
              <w:bottom w:val="single" w:sz="4" w:space="0" w:color="auto"/>
              <w:right w:val="single" w:sz="4" w:space="0" w:color="auto"/>
            </w:tcBorders>
            <w:shd w:val="clear" w:color="auto" w:fill="auto"/>
            <w:vAlign w:val="center"/>
          </w:tcPr>
          <w:p w14:paraId="59655DAB"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Mērķis</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0C7528C"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Parakstīšanas datums</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B68E24"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Apmaksas termiņš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77C74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Neapmaksātā summa uz 01.01.2019.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24E495"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Plānots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61F04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Atmaksājams 2019.gadā</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4BF74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Neapmaksātā summa uz 01.01.2020.</w:t>
            </w:r>
          </w:p>
        </w:tc>
      </w:tr>
      <w:tr w:rsidR="00CD3D80" w:rsidRPr="00CD3D80" w14:paraId="6574FC57" w14:textId="77777777" w:rsidTr="00A5553B">
        <w:trPr>
          <w:trHeight w:val="73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AF1597"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11</w:t>
            </w:r>
          </w:p>
        </w:tc>
        <w:tc>
          <w:tcPr>
            <w:tcW w:w="2132" w:type="dxa"/>
            <w:tcBorders>
              <w:top w:val="nil"/>
              <w:left w:val="nil"/>
              <w:bottom w:val="single" w:sz="4" w:space="0" w:color="auto"/>
              <w:right w:val="single" w:sz="4" w:space="0" w:color="auto"/>
            </w:tcBorders>
            <w:shd w:val="clear" w:color="auto" w:fill="auto"/>
            <w:vAlign w:val="center"/>
            <w:hideMark/>
          </w:tcPr>
          <w:p w14:paraId="08DC2716"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Investīciju projektu īstenošanai (saistību pārjaunojums)</w:t>
            </w:r>
          </w:p>
        </w:tc>
        <w:tc>
          <w:tcPr>
            <w:tcW w:w="1275" w:type="dxa"/>
            <w:tcBorders>
              <w:top w:val="nil"/>
              <w:left w:val="nil"/>
              <w:bottom w:val="single" w:sz="4" w:space="0" w:color="auto"/>
              <w:right w:val="single" w:sz="4" w:space="0" w:color="auto"/>
            </w:tcBorders>
            <w:shd w:val="clear" w:color="auto" w:fill="auto"/>
            <w:noWrap/>
            <w:vAlign w:val="center"/>
            <w:hideMark/>
          </w:tcPr>
          <w:p w14:paraId="00D439A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21.06.2018.</w:t>
            </w:r>
          </w:p>
        </w:tc>
        <w:tc>
          <w:tcPr>
            <w:tcW w:w="1276" w:type="dxa"/>
            <w:tcBorders>
              <w:top w:val="nil"/>
              <w:left w:val="nil"/>
              <w:bottom w:val="single" w:sz="4" w:space="0" w:color="auto"/>
              <w:right w:val="single" w:sz="4" w:space="0" w:color="auto"/>
            </w:tcBorders>
            <w:shd w:val="clear" w:color="auto" w:fill="auto"/>
            <w:noWrap/>
            <w:vAlign w:val="center"/>
            <w:hideMark/>
          </w:tcPr>
          <w:p w14:paraId="68B5950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20.06.2034.</w:t>
            </w:r>
          </w:p>
        </w:tc>
        <w:tc>
          <w:tcPr>
            <w:tcW w:w="1276" w:type="dxa"/>
            <w:tcBorders>
              <w:top w:val="nil"/>
              <w:left w:val="nil"/>
              <w:bottom w:val="single" w:sz="4" w:space="0" w:color="auto"/>
              <w:right w:val="single" w:sz="4" w:space="0" w:color="auto"/>
            </w:tcBorders>
            <w:shd w:val="clear" w:color="auto" w:fill="auto"/>
            <w:noWrap/>
            <w:vAlign w:val="center"/>
            <w:hideMark/>
          </w:tcPr>
          <w:p w14:paraId="192274E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2 216 614 €</w:t>
            </w:r>
          </w:p>
        </w:tc>
        <w:tc>
          <w:tcPr>
            <w:tcW w:w="1134" w:type="dxa"/>
            <w:tcBorders>
              <w:top w:val="nil"/>
              <w:left w:val="nil"/>
              <w:bottom w:val="single" w:sz="4" w:space="0" w:color="auto"/>
              <w:right w:val="single" w:sz="4" w:space="0" w:color="auto"/>
            </w:tcBorders>
            <w:shd w:val="clear" w:color="auto" w:fill="auto"/>
            <w:noWrap/>
            <w:vAlign w:val="center"/>
            <w:hideMark/>
          </w:tcPr>
          <w:p w14:paraId="59EB749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38E3D6C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182 626 €</w:t>
            </w:r>
          </w:p>
        </w:tc>
        <w:tc>
          <w:tcPr>
            <w:tcW w:w="1276" w:type="dxa"/>
            <w:tcBorders>
              <w:top w:val="nil"/>
              <w:left w:val="nil"/>
              <w:bottom w:val="single" w:sz="4" w:space="0" w:color="auto"/>
              <w:right w:val="single" w:sz="4" w:space="0" w:color="auto"/>
            </w:tcBorders>
            <w:shd w:val="clear" w:color="auto" w:fill="auto"/>
            <w:noWrap/>
            <w:vAlign w:val="center"/>
            <w:hideMark/>
          </w:tcPr>
          <w:p w14:paraId="17B3BD6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2 033 988 €</w:t>
            </w:r>
          </w:p>
        </w:tc>
      </w:tr>
      <w:tr w:rsidR="00CD3D80" w:rsidRPr="00CD3D80" w14:paraId="5BA315D8" w14:textId="77777777" w:rsidTr="00A5553B">
        <w:trPr>
          <w:trHeight w:val="73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018818"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12</w:t>
            </w:r>
          </w:p>
        </w:tc>
        <w:tc>
          <w:tcPr>
            <w:tcW w:w="2132" w:type="dxa"/>
            <w:tcBorders>
              <w:top w:val="nil"/>
              <w:left w:val="nil"/>
              <w:bottom w:val="single" w:sz="4" w:space="0" w:color="auto"/>
              <w:right w:val="single" w:sz="4" w:space="0" w:color="auto"/>
            </w:tcBorders>
            <w:shd w:val="clear" w:color="auto" w:fill="auto"/>
            <w:vAlign w:val="center"/>
            <w:hideMark/>
          </w:tcPr>
          <w:p w14:paraId="59CEEF89"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Investīciju projektu īstenošanai (saistību pārjaunojums)</w:t>
            </w:r>
          </w:p>
        </w:tc>
        <w:tc>
          <w:tcPr>
            <w:tcW w:w="1275" w:type="dxa"/>
            <w:tcBorders>
              <w:top w:val="nil"/>
              <w:left w:val="nil"/>
              <w:bottom w:val="single" w:sz="4" w:space="0" w:color="auto"/>
              <w:right w:val="single" w:sz="4" w:space="0" w:color="auto"/>
            </w:tcBorders>
            <w:shd w:val="clear" w:color="auto" w:fill="auto"/>
            <w:noWrap/>
            <w:vAlign w:val="center"/>
            <w:hideMark/>
          </w:tcPr>
          <w:p w14:paraId="72C84D68"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21.06.2018.</w:t>
            </w:r>
          </w:p>
        </w:tc>
        <w:tc>
          <w:tcPr>
            <w:tcW w:w="1276" w:type="dxa"/>
            <w:tcBorders>
              <w:top w:val="nil"/>
              <w:left w:val="nil"/>
              <w:bottom w:val="single" w:sz="4" w:space="0" w:color="auto"/>
              <w:right w:val="single" w:sz="4" w:space="0" w:color="auto"/>
            </w:tcBorders>
            <w:shd w:val="clear" w:color="auto" w:fill="auto"/>
            <w:noWrap/>
            <w:vAlign w:val="center"/>
            <w:hideMark/>
          </w:tcPr>
          <w:p w14:paraId="094E8B8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20.03.2029.</w:t>
            </w:r>
          </w:p>
        </w:tc>
        <w:tc>
          <w:tcPr>
            <w:tcW w:w="1276" w:type="dxa"/>
            <w:tcBorders>
              <w:top w:val="nil"/>
              <w:left w:val="nil"/>
              <w:bottom w:val="single" w:sz="4" w:space="0" w:color="auto"/>
              <w:right w:val="single" w:sz="4" w:space="0" w:color="auto"/>
            </w:tcBorders>
            <w:shd w:val="clear" w:color="auto" w:fill="auto"/>
            <w:noWrap/>
            <w:vAlign w:val="center"/>
            <w:hideMark/>
          </w:tcPr>
          <w:p w14:paraId="254BF13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326 007 €</w:t>
            </w:r>
          </w:p>
        </w:tc>
        <w:tc>
          <w:tcPr>
            <w:tcW w:w="1134" w:type="dxa"/>
            <w:tcBorders>
              <w:top w:val="nil"/>
              <w:left w:val="nil"/>
              <w:bottom w:val="single" w:sz="4" w:space="0" w:color="auto"/>
              <w:right w:val="single" w:sz="4" w:space="0" w:color="auto"/>
            </w:tcBorders>
            <w:shd w:val="clear" w:color="auto" w:fill="auto"/>
            <w:noWrap/>
            <w:vAlign w:val="center"/>
            <w:hideMark/>
          </w:tcPr>
          <w:p w14:paraId="6D72B5A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64AEE71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67 849 €</w:t>
            </w:r>
          </w:p>
        </w:tc>
        <w:tc>
          <w:tcPr>
            <w:tcW w:w="1276" w:type="dxa"/>
            <w:tcBorders>
              <w:top w:val="nil"/>
              <w:left w:val="nil"/>
              <w:bottom w:val="single" w:sz="4" w:space="0" w:color="auto"/>
              <w:right w:val="single" w:sz="4" w:space="0" w:color="auto"/>
            </w:tcBorders>
            <w:shd w:val="clear" w:color="auto" w:fill="auto"/>
            <w:noWrap/>
            <w:vAlign w:val="center"/>
            <w:hideMark/>
          </w:tcPr>
          <w:p w14:paraId="24E40BB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258 158 €</w:t>
            </w:r>
          </w:p>
        </w:tc>
      </w:tr>
      <w:tr w:rsidR="00CD3D80" w:rsidRPr="00CD3D80" w14:paraId="51FCBCC8" w14:textId="77777777" w:rsidTr="00A5553B">
        <w:trPr>
          <w:trHeight w:val="6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89E48D"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14</w:t>
            </w:r>
          </w:p>
        </w:tc>
        <w:tc>
          <w:tcPr>
            <w:tcW w:w="2132" w:type="dxa"/>
            <w:tcBorders>
              <w:top w:val="nil"/>
              <w:left w:val="nil"/>
              <w:bottom w:val="single" w:sz="4" w:space="0" w:color="auto"/>
              <w:right w:val="single" w:sz="4" w:space="0" w:color="auto"/>
            </w:tcBorders>
            <w:shd w:val="clear" w:color="auto" w:fill="auto"/>
            <w:vAlign w:val="center"/>
            <w:hideMark/>
          </w:tcPr>
          <w:p w14:paraId="3711A9F9"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Ielu, autoceļu un saistītās infrastruktūras rekonstrukcija</w:t>
            </w:r>
          </w:p>
        </w:tc>
        <w:tc>
          <w:tcPr>
            <w:tcW w:w="1275" w:type="dxa"/>
            <w:tcBorders>
              <w:top w:val="nil"/>
              <w:left w:val="nil"/>
              <w:bottom w:val="single" w:sz="4" w:space="0" w:color="auto"/>
              <w:right w:val="single" w:sz="4" w:space="0" w:color="auto"/>
            </w:tcBorders>
            <w:shd w:val="clear" w:color="auto" w:fill="auto"/>
            <w:noWrap/>
            <w:vAlign w:val="center"/>
            <w:hideMark/>
          </w:tcPr>
          <w:p w14:paraId="3BB28A8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02.07.2018.</w:t>
            </w:r>
          </w:p>
        </w:tc>
        <w:tc>
          <w:tcPr>
            <w:tcW w:w="1276" w:type="dxa"/>
            <w:tcBorders>
              <w:top w:val="nil"/>
              <w:left w:val="nil"/>
              <w:bottom w:val="single" w:sz="4" w:space="0" w:color="auto"/>
              <w:right w:val="single" w:sz="4" w:space="0" w:color="auto"/>
            </w:tcBorders>
            <w:shd w:val="clear" w:color="auto" w:fill="auto"/>
            <w:noWrap/>
            <w:vAlign w:val="center"/>
            <w:hideMark/>
          </w:tcPr>
          <w:p w14:paraId="4B78308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20.06.2038.</w:t>
            </w:r>
          </w:p>
        </w:tc>
        <w:tc>
          <w:tcPr>
            <w:tcW w:w="1276" w:type="dxa"/>
            <w:tcBorders>
              <w:top w:val="nil"/>
              <w:left w:val="nil"/>
              <w:bottom w:val="single" w:sz="4" w:space="0" w:color="auto"/>
              <w:right w:val="single" w:sz="4" w:space="0" w:color="auto"/>
            </w:tcBorders>
            <w:shd w:val="clear" w:color="auto" w:fill="auto"/>
            <w:noWrap/>
            <w:vAlign w:val="center"/>
            <w:hideMark/>
          </w:tcPr>
          <w:p w14:paraId="5CEBB28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101 951 €</w:t>
            </w:r>
          </w:p>
        </w:tc>
        <w:tc>
          <w:tcPr>
            <w:tcW w:w="1134" w:type="dxa"/>
            <w:tcBorders>
              <w:top w:val="nil"/>
              <w:left w:val="nil"/>
              <w:bottom w:val="single" w:sz="4" w:space="0" w:color="auto"/>
              <w:right w:val="single" w:sz="4" w:space="0" w:color="auto"/>
            </w:tcBorders>
            <w:shd w:val="clear" w:color="auto" w:fill="auto"/>
            <w:noWrap/>
            <w:vAlign w:val="center"/>
            <w:hideMark/>
          </w:tcPr>
          <w:p w14:paraId="592D5B1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3C0D082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2 643 €</w:t>
            </w:r>
          </w:p>
        </w:tc>
        <w:tc>
          <w:tcPr>
            <w:tcW w:w="1276" w:type="dxa"/>
            <w:tcBorders>
              <w:top w:val="nil"/>
              <w:left w:val="nil"/>
              <w:bottom w:val="single" w:sz="4" w:space="0" w:color="auto"/>
              <w:right w:val="single" w:sz="4" w:space="0" w:color="auto"/>
            </w:tcBorders>
            <w:shd w:val="clear" w:color="auto" w:fill="auto"/>
            <w:noWrap/>
            <w:vAlign w:val="center"/>
            <w:hideMark/>
          </w:tcPr>
          <w:p w14:paraId="5AFDB45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99 308 €</w:t>
            </w:r>
          </w:p>
        </w:tc>
      </w:tr>
      <w:tr w:rsidR="00CD3D80" w:rsidRPr="00CD3D80" w14:paraId="5CDF494B" w14:textId="77777777" w:rsidTr="00A5553B">
        <w:trPr>
          <w:trHeight w:val="9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7E3278F"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15</w:t>
            </w:r>
          </w:p>
        </w:tc>
        <w:tc>
          <w:tcPr>
            <w:tcW w:w="2132" w:type="dxa"/>
            <w:tcBorders>
              <w:top w:val="nil"/>
              <w:left w:val="nil"/>
              <w:bottom w:val="single" w:sz="4" w:space="0" w:color="auto"/>
              <w:right w:val="single" w:sz="4" w:space="0" w:color="auto"/>
            </w:tcBorders>
            <w:shd w:val="clear" w:color="auto" w:fill="auto"/>
            <w:vAlign w:val="center"/>
            <w:hideMark/>
          </w:tcPr>
          <w:p w14:paraId="1071902A"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Salacgrīvas novada ceļu un to kompleksa investīciju projektu īstenošanai</w:t>
            </w:r>
          </w:p>
        </w:tc>
        <w:tc>
          <w:tcPr>
            <w:tcW w:w="1275" w:type="dxa"/>
            <w:tcBorders>
              <w:top w:val="nil"/>
              <w:left w:val="nil"/>
              <w:bottom w:val="single" w:sz="4" w:space="0" w:color="auto"/>
              <w:right w:val="single" w:sz="4" w:space="0" w:color="auto"/>
            </w:tcBorders>
            <w:shd w:val="clear" w:color="auto" w:fill="auto"/>
            <w:noWrap/>
            <w:vAlign w:val="center"/>
            <w:hideMark/>
          </w:tcPr>
          <w:p w14:paraId="6FB44E5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21.08.2018.</w:t>
            </w:r>
          </w:p>
        </w:tc>
        <w:tc>
          <w:tcPr>
            <w:tcW w:w="1276" w:type="dxa"/>
            <w:tcBorders>
              <w:top w:val="nil"/>
              <w:left w:val="nil"/>
              <w:bottom w:val="single" w:sz="4" w:space="0" w:color="auto"/>
              <w:right w:val="single" w:sz="4" w:space="0" w:color="auto"/>
            </w:tcBorders>
            <w:shd w:val="clear" w:color="auto" w:fill="auto"/>
            <w:noWrap/>
            <w:vAlign w:val="center"/>
            <w:hideMark/>
          </w:tcPr>
          <w:p w14:paraId="732EF49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20.08.2038.</w:t>
            </w:r>
          </w:p>
        </w:tc>
        <w:tc>
          <w:tcPr>
            <w:tcW w:w="1276" w:type="dxa"/>
            <w:tcBorders>
              <w:top w:val="nil"/>
              <w:left w:val="nil"/>
              <w:bottom w:val="single" w:sz="4" w:space="0" w:color="auto"/>
              <w:right w:val="single" w:sz="4" w:space="0" w:color="auto"/>
            </w:tcBorders>
            <w:shd w:val="clear" w:color="auto" w:fill="auto"/>
            <w:noWrap/>
            <w:vAlign w:val="center"/>
            <w:hideMark/>
          </w:tcPr>
          <w:p w14:paraId="6B6B191A" w14:textId="77777777" w:rsidR="00CD3D80" w:rsidRPr="00CD3D80" w:rsidRDefault="00CD3D80" w:rsidP="00CD3D80">
            <w:pPr>
              <w:spacing w:after="0" w:line="240" w:lineRule="auto"/>
              <w:jc w:val="center"/>
              <w:rPr>
                <w:rFonts w:ascii="Times New Roman" w:eastAsia="Times New Roman" w:hAnsi="Times New Roman" w:cs="Times New Roman"/>
                <w:sz w:val="20"/>
                <w:szCs w:val="20"/>
                <w:lang w:eastAsia="lv-LV"/>
              </w:rPr>
            </w:pPr>
            <w:r w:rsidRPr="00CD3D80">
              <w:rPr>
                <w:rFonts w:ascii="Times New Roman" w:eastAsia="Times New Roman" w:hAnsi="Times New Roman" w:cs="Times New Roman"/>
                <w:sz w:val="20"/>
                <w:szCs w:val="20"/>
                <w:lang w:eastAsia="lv-LV"/>
              </w:rPr>
              <w:t>173 000 €</w:t>
            </w:r>
          </w:p>
        </w:tc>
        <w:tc>
          <w:tcPr>
            <w:tcW w:w="1134" w:type="dxa"/>
            <w:tcBorders>
              <w:top w:val="nil"/>
              <w:left w:val="nil"/>
              <w:bottom w:val="single" w:sz="4" w:space="0" w:color="auto"/>
              <w:right w:val="single" w:sz="4" w:space="0" w:color="auto"/>
            </w:tcBorders>
            <w:shd w:val="clear" w:color="auto" w:fill="auto"/>
            <w:noWrap/>
            <w:vAlign w:val="center"/>
            <w:hideMark/>
          </w:tcPr>
          <w:p w14:paraId="06AEF43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00DB4F2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4 460 €</w:t>
            </w:r>
          </w:p>
        </w:tc>
        <w:tc>
          <w:tcPr>
            <w:tcW w:w="1276" w:type="dxa"/>
            <w:tcBorders>
              <w:top w:val="nil"/>
              <w:left w:val="nil"/>
              <w:bottom w:val="single" w:sz="4" w:space="0" w:color="auto"/>
              <w:right w:val="single" w:sz="4" w:space="0" w:color="auto"/>
            </w:tcBorders>
            <w:shd w:val="clear" w:color="auto" w:fill="auto"/>
            <w:noWrap/>
            <w:vAlign w:val="center"/>
            <w:hideMark/>
          </w:tcPr>
          <w:p w14:paraId="7879347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168 540 €</w:t>
            </w:r>
          </w:p>
        </w:tc>
      </w:tr>
      <w:tr w:rsidR="00CD3D80" w:rsidRPr="00CD3D80" w14:paraId="37BD5B33" w14:textId="77777777" w:rsidTr="00A5553B">
        <w:trPr>
          <w:trHeight w:val="9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0BBC4D"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16</w:t>
            </w:r>
          </w:p>
        </w:tc>
        <w:tc>
          <w:tcPr>
            <w:tcW w:w="2132" w:type="dxa"/>
            <w:tcBorders>
              <w:top w:val="nil"/>
              <w:left w:val="nil"/>
              <w:bottom w:val="single" w:sz="4" w:space="0" w:color="auto"/>
              <w:right w:val="single" w:sz="4" w:space="0" w:color="auto"/>
            </w:tcBorders>
            <w:shd w:val="clear" w:color="auto" w:fill="auto"/>
            <w:vAlign w:val="center"/>
            <w:hideMark/>
          </w:tcPr>
          <w:p w14:paraId="4643D20E"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Izglītības iestādes jumta pārbūve Salacgrīvas novada Liepupes pagastā "Veiksmes"</w:t>
            </w:r>
          </w:p>
        </w:tc>
        <w:tc>
          <w:tcPr>
            <w:tcW w:w="1275" w:type="dxa"/>
            <w:tcBorders>
              <w:top w:val="nil"/>
              <w:left w:val="nil"/>
              <w:bottom w:val="single" w:sz="4" w:space="0" w:color="auto"/>
              <w:right w:val="single" w:sz="4" w:space="0" w:color="auto"/>
            </w:tcBorders>
            <w:shd w:val="clear" w:color="auto" w:fill="auto"/>
            <w:noWrap/>
            <w:vAlign w:val="center"/>
            <w:hideMark/>
          </w:tcPr>
          <w:p w14:paraId="32DE352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06.08.2018.</w:t>
            </w:r>
          </w:p>
        </w:tc>
        <w:tc>
          <w:tcPr>
            <w:tcW w:w="1276" w:type="dxa"/>
            <w:tcBorders>
              <w:top w:val="nil"/>
              <w:left w:val="nil"/>
              <w:bottom w:val="single" w:sz="4" w:space="0" w:color="auto"/>
              <w:right w:val="single" w:sz="4" w:space="0" w:color="auto"/>
            </w:tcBorders>
            <w:shd w:val="clear" w:color="auto" w:fill="auto"/>
            <w:noWrap/>
            <w:vAlign w:val="center"/>
            <w:hideMark/>
          </w:tcPr>
          <w:p w14:paraId="11A92F3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20.08.2038.</w:t>
            </w:r>
          </w:p>
        </w:tc>
        <w:tc>
          <w:tcPr>
            <w:tcW w:w="1276" w:type="dxa"/>
            <w:tcBorders>
              <w:top w:val="nil"/>
              <w:left w:val="nil"/>
              <w:bottom w:val="single" w:sz="4" w:space="0" w:color="auto"/>
              <w:right w:val="single" w:sz="4" w:space="0" w:color="auto"/>
            </w:tcBorders>
            <w:shd w:val="clear" w:color="auto" w:fill="auto"/>
            <w:noWrap/>
            <w:vAlign w:val="center"/>
            <w:hideMark/>
          </w:tcPr>
          <w:p w14:paraId="2285575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114 664 €</w:t>
            </w:r>
          </w:p>
        </w:tc>
        <w:tc>
          <w:tcPr>
            <w:tcW w:w="1134" w:type="dxa"/>
            <w:tcBorders>
              <w:top w:val="nil"/>
              <w:left w:val="nil"/>
              <w:bottom w:val="single" w:sz="4" w:space="0" w:color="auto"/>
              <w:right w:val="single" w:sz="4" w:space="0" w:color="auto"/>
            </w:tcBorders>
            <w:shd w:val="clear" w:color="auto" w:fill="auto"/>
            <w:noWrap/>
            <w:vAlign w:val="center"/>
            <w:hideMark/>
          </w:tcPr>
          <w:p w14:paraId="7073FF2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2D0FE8D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2 914 €</w:t>
            </w:r>
          </w:p>
        </w:tc>
        <w:tc>
          <w:tcPr>
            <w:tcW w:w="1276" w:type="dxa"/>
            <w:tcBorders>
              <w:top w:val="nil"/>
              <w:left w:val="nil"/>
              <w:bottom w:val="single" w:sz="4" w:space="0" w:color="auto"/>
              <w:right w:val="single" w:sz="4" w:space="0" w:color="auto"/>
            </w:tcBorders>
            <w:shd w:val="clear" w:color="auto" w:fill="auto"/>
            <w:noWrap/>
            <w:vAlign w:val="center"/>
            <w:hideMark/>
          </w:tcPr>
          <w:p w14:paraId="56633A38"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111 750 €</w:t>
            </w:r>
          </w:p>
        </w:tc>
      </w:tr>
      <w:tr w:rsidR="00CD3D80" w:rsidRPr="00CD3D80" w14:paraId="2FB825D6" w14:textId="77777777" w:rsidTr="00A5553B">
        <w:trPr>
          <w:trHeight w:val="24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66079BB"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17</w:t>
            </w:r>
          </w:p>
        </w:tc>
        <w:tc>
          <w:tcPr>
            <w:tcW w:w="2132" w:type="dxa"/>
            <w:tcBorders>
              <w:top w:val="nil"/>
              <w:left w:val="nil"/>
              <w:bottom w:val="single" w:sz="4" w:space="0" w:color="auto"/>
              <w:right w:val="single" w:sz="4" w:space="0" w:color="auto"/>
            </w:tcBorders>
            <w:shd w:val="clear" w:color="auto" w:fill="auto"/>
            <w:vAlign w:val="center"/>
            <w:hideMark/>
          </w:tcPr>
          <w:p w14:paraId="6E2B02B3"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SIA "Salacgrīvas ūdens" pamatkapitāla palielināšanai līdzfinansējuma nodrošināšanai KF projektam " Ūdens saimniecības infrastruktūras attīstība Salacgrīvas pilsētā, 3.kārta" īstenošanai</w:t>
            </w:r>
          </w:p>
        </w:tc>
        <w:tc>
          <w:tcPr>
            <w:tcW w:w="1275" w:type="dxa"/>
            <w:tcBorders>
              <w:top w:val="nil"/>
              <w:left w:val="nil"/>
              <w:bottom w:val="single" w:sz="4" w:space="0" w:color="auto"/>
              <w:right w:val="single" w:sz="4" w:space="0" w:color="auto"/>
            </w:tcBorders>
            <w:shd w:val="clear" w:color="auto" w:fill="auto"/>
            <w:noWrap/>
            <w:vAlign w:val="center"/>
            <w:hideMark/>
          </w:tcPr>
          <w:p w14:paraId="0313925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25.09.2018.</w:t>
            </w:r>
          </w:p>
        </w:tc>
        <w:tc>
          <w:tcPr>
            <w:tcW w:w="1276" w:type="dxa"/>
            <w:tcBorders>
              <w:top w:val="nil"/>
              <w:left w:val="nil"/>
              <w:bottom w:val="single" w:sz="4" w:space="0" w:color="auto"/>
              <w:right w:val="single" w:sz="4" w:space="0" w:color="auto"/>
            </w:tcBorders>
            <w:shd w:val="clear" w:color="auto" w:fill="auto"/>
            <w:noWrap/>
            <w:vAlign w:val="center"/>
            <w:hideMark/>
          </w:tcPr>
          <w:p w14:paraId="20E1596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20.09.2028.</w:t>
            </w:r>
          </w:p>
        </w:tc>
        <w:tc>
          <w:tcPr>
            <w:tcW w:w="1276" w:type="dxa"/>
            <w:tcBorders>
              <w:top w:val="nil"/>
              <w:left w:val="nil"/>
              <w:bottom w:val="single" w:sz="4" w:space="0" w:color="auto"/>
              <w:right w:val="single" w:sz="4" w:space="0" w:color="auto"/>
            </w:tcBorders>
            <w:shd w:val="clear" w:color="auto" w:fill="auto"/>
            <w:noWrap/>
            <w:vAlign w:val="center"/>
            <w:hideMark/>
          </w:tcPr>
          <w:p w14:paraId="002EFFA4"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293 868 €</w:t>
            </w:r>
          </w:p>
        </w:tc>
        <w:tc>
          <w:tcPr>
            <w:tcW w:w="1134" w:type="dxa"/>
            <w:tcBorders>
              <w:top w:val="nil"/>
              <w:left w:val="nil"/>
              <w:bottom w:val="single" w:sz="4" w:space="0" w:color="auto"/>
              <w:right w:val="single" w:sz="4" w:space="0" w:color="auto"/>
            </w:tcBorders>
            <w:shd w:val="clear" w:color="auto" w:fill="auto"/>
            <w:noWrap/>
            <w:vAlign w:val="center"/>
            <w:hideMark/>
          </w:tcPr>
          <w:p w14:paraId="2611E47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1775567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7 593 €</w:t>
            </w:r>
          </w:p>
        </w:tc>
        <w:tc>
          <w:tcPr>
            <w:tcW w:w="1276" w:type="dxa"/>
            <w:tcBorders>
              <w:top w:val="nil"/>
              <w:left w:val="nil"/>
              <w:bottom w:val="single" w:sz="4" w:space="0" w:color="auto"/>
              <w:right w:val="single" w:sz="4" w:space="0" w:color="auto"/>
            </w:tcBorders>
            <w:shd w:val="clear" w:color="auto" w:fill="auto"/>
            <w:noWrap/>
            <w:vAlign w:val="center"/>
            <w:hideMark/>
          </w:tcPr>
          <w:p w14:paraId="0B82B07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286 275 €</w:t>
            </w:r>
          </w:p>
        </w:tc>
      </w:tr>
      <w:tr w:rsidR="00CD3D80" w:rsidRPr="00CD3D80" w14:paraId="1BCA5741" w14:textId="77777777" w:rsidTr="00A5553B">
        <w:trPr>
          <w:trHeight w:val="300"/>
        </w:trPr>
        <w:tc>
          <w:tcPr>
            <w:tcW w:w="562" w:type="dxa"/>
            <w:tcBorders>
              <w:top w:val="nil"/>
              <w:left w:val="single" w:sz="4" w:space="0" w:color="auto"/>
              <w:bottom w:val="single" w:sz="4" w:space="0" w:color="auto"/>
              <w:right w:val="single" w:sz="4" w:space="0" w:color="auto"/>
            </w:tcBorders>
            <w:shd w:val="clear" w:color="000000" w:fill="92D050"/>
            <w:vAlign w:val="center"/>
            <w:hideMark/>
          </w:tcPr>
          <w:p w14:paraId="46905876"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p>
        </w:tc>
        <w:tc>
          <w:tcPr>
            <w:tcW w:w="2132" w:type="dxa"/>
            <w:tcBorders>
              <w:top w:val="nil"/>
              <w:left w:val="nil"/>
              <w:bottom w:val="single" w:sz="4" w:space="0" w:color="auto"/>
              <w:right w:val="single" w:sz="4" w:space="0" w:color="auto"/>
            </w:tcBorders>
            <w:shd w:val="clear" w:color="000000" w:fill="92D050"/>
            <w:vAlign w:val="center"/>
            <w:hideMark/>
          </w:tcPr>
          <w:p w14:paraId="2A9E78EA" w14:textId="77777777" w:rsidR="00CD3D80" w:rsidRPr="00CD3D80" w:rsidRDefault="00CD3D80" w:rsidP="00CD3D80">
            <w:pPr>
              <w:spacing w:after="0" w:line="240" w:lineRule="auto"/>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KOPĀ esošie kredīti</w:t>
            </w:r>
          </w:p>
        </w:tc>
        <w:tc>
          <w:tcPr>
            <w:tcW w:w="1275" w:type="dxa"/>
            <w:tcBorders>
              <w:top w:val="nil"/>
              <w:left w:val="nil"/>
              <w:bottom w:val="single" w:sz="4" w:space="0" w:color="auto"/>
              <w:right w:val="single" w:sz="4" w:space="0" w:color="auto"/>
            </w:tcBorders>
            <w:shd w:val="clear" w:color="000000" w:fill="92D050"/>
            <w:noWrap/>
            <w:vAlign w:val="center"/>
            <w:hideMark/>
          </w:tcPr>
          <w:p w14:paraId="1C917EE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000000" w:fill="92D050"/>
            <w:noWrap/>
            <w:vAlign w:val="center"/>
            <w:hideMark/>
          </w:tcPr>
          <w:p w14:paraId="14BD375C"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000000" w:fill="92D050"/>
            <w:noWrap/>
            <w:vAlign w:val="center"/>
            <w:hideMark/>
          </w:tcPr>
          <w:p w14:paraId="3A01920C"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4 404 656 €</w:t>
            </w:r>
          </w:p>
        </w:tc>
        <w:tc>
          <w:tcPr>
            <w:tcW w:w="1134" w:type="dxa"/>
            <w:tcBorders>
              <w:top w:val="nil"/>
              <w:left w:val="nil"/>
              <w:bottom w:val="single" w:sz="4" w:space="0" w:color="auto"/>
              <w:right w:val="single" w:sz="4" w:space="0" w:color="auto"/>
            </w:tcBorders>
            <w:shd w:val="clear" w:color="000000" w:fill="92D050"/>
            <w:noWrap/>
            <w:vAlign w:val="center"/>
            <w:hideMark/>
          </w:tcPr>
          <w:p w14:paraId="694CB717"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3F18DA4D"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370 759 €</w:t>
            </w:r>
          </w:p>
        </w:tc>
        <w:tc>
          <w:tcPr>
            <w:tcW w:w="1276" w:type="dxa"/>
            <w:tcBorders>
              <w:top w:val="nil"/>
              <w:left w:val="nil"/>
              <w:bottom w:val="single" w:sz="4" w:space="0" w:color="auto"/>
              <w:right w:val="single" w:sz="4" w:space="0" w:color="auto"/>
            </w:tcBorders>
            <w:shd w:val="clear" w:color="000000" w:fill="92D050"/>
            <w:noWrap/>
            <w:vAlign w:val="center"/>
            <w:hideMark/>
          </w:tcPr>
          <w:p w14:paraId="377B99DC"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4 033 897 €</w:t>
            </w:r>
          </w:p>
        </w:tc>
      </w:tr>
      <w:tr w:rsidR="00CD3D80" w:rsidRPr="00CD3D80" w14:paraId="55DCF37B" w14:textId="77777777" w:rsidTr="00A5553B">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821348"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p>
        </w:tc>
        <w:tc>
          <w:tcPr>
            <w:tcW w:w="2132" w:type="dxa"/>
            <w:tcBorders>
              <w:top w:val="nil"/>
              <w:left w:val="nil"/>
              <w:bottom w:val="single" w:sz="4" w:space="0" w:color="auto"/>
              <w:right w:val="single" w:sz="4" w:space="0" w:color="auto"/>
            </w:tcBorders>
            <w:shd w:val="clear" w:color="auto" w:fill="auto"/>
            <w:vAlign w:val="center"/>
            <w:hideMark/>
          </w:tcPr>
          <w:p w14:paraId="652A939C" w14:textId="77777777" w:rsidR="00CD3D80" w:rsidRPr="00CD3D80" w:rsidRDefault="00CD3D80" w:rsidP="00CD3D80">
            <w:pPr>
              <w:spacing w:after="0" w:line="240" w:lineRule="auto"/>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Plānotie kredīti</w:t>
            </w:r>
          </w:p>
        </w:tc>
        <w:tc>
          <w:tcPr>
            <w:tcW w:w="1275" w:type="dxa"/>
            <w:tcBorders>
              <w:top w:val="nil"/>
              <w:left w:val="nil"/>
              <w:bottom w:val="single" w:sz="4" w:space="0" w:color="auto"/>
              <w:right w:val="single" w:sz="4" w:space="0" w:color="auto"/>
            </w:tcBorders>
            <w:shd w:val="clear" w:color="auto" w:fill="auto"/>
            <w:noWrap/>
            <w:vAlign w:val="center"/>
            <w:hideMark/>
          </w:tcPr>
          <w:p w14:paraId="2D6DBB7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65BC838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0C0E31E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179D215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0213F55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52B71CE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r>
      <w:tr w:rsidR="00CD3D80" w:rsidRPr="00CD3D80" w14:paraId="32432B15" w14:textId="77777777" w:rsidTr="00A5553B">
        <w:trPr>
          <w:trHeight w:val="164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75A88D"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1</w:t>
            </w:r>
          </w:p>
        </w:tc>
        <w:tc>
          <w:tcPr>
            <w:tcW w:w="2132" w:type="dxa"/>
            <w:tcBorders>
              <w:top w:val="nil"/>
              <w:left w:val="nil"/>
              <w:bottom w:val="single" w:sz="4" w:space="0" w:color="auto"/>
              <w:right w:val="single" w:sz="4" w:space="0" w:color="auto"/>
            </w:tcBorders>
            <w:shd w:val="clear" w:color="auto" w:fill="auto"/>
            <w:vAlign w:val="center"/>
            <w:hideMark/>
          </w:tcPr>
          <w:p w14:paraId="74CFEE27"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ERAF Vidzemes piekrastes kultūras un dabas mantojuma iekļaušana tūrisma pakalpojumu izveide un attīstība - "Saviļņojošā Vidzeme"</w:t>
            </w:r>
          </w:p>
        </w:tc>
        <w:tc>
          <w:tcPr>
            <w:tcW w:w="1275" w:type="dxa"/>
            <w:tcBorders>
              <w:top w:val="nil"/>
              <w:left w:val="nil"/>
              <w:bottom w:val="single" w:sz="4" w:space="0" w:color="auto"/>
              <w:right w:val="single" w:sz="4" w:space="0" w:color="auto"/>
            </w:tcBorders>
            <w:shd w:val="clear" w:color="auto" w:fill="auto"/>
            <w:noWrap/>
            <w:vAlign w:val="center"/>
            <w:hideMark/>
          </w:tcPr>
          <w:p w14:paraId="67F0529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099C5D0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4EA9423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4E5DF0B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204 879 €</w:t>
            </w:r>
          </w:p>
        </w:tc>
        <w:tc>
          <w:tcPr>
            <w:tcW w:w="1134" w:type="dxa"/>
            <w:tcBorders>
              <w:top w:val="nil"/>
              <w:left w:val="nil"/>
              <w:bottom w:val="single" w:sz="4" w:space="0" w:color="auto"/>
              <w:right w:val="single" w:sz="4" w:space="0" w:color="auto"/>
            </w:tcBorders>
            <w:shd w:val="clear" w:color="auto" w:fill="auto"/>
            <w:noWrap/>
            <w:vAlign w:val="center"/>
            <w:hideMark/>
          </w:tcPr>
          <w:p w14:paraId="04E7F020"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50F3C11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204 879 €</w:t>
            </w:r>
          </w:p>
        </w:tc>
      </w:tr>
      <w:tr w:rsidR="00CD3D80" w:rsidRPr="00CD3D80" w14:paraId="75C57EE1" w14:textId="77777777" w:rsidTr="00A5553B">
        <w:trPr>
          <w:trHeight w:val="9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D8800C"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2</w:t>
            </w:r>
          </w:p>
        </w:tc>
        <w:tc>
          <w:tcPr>
            <w:tcW w:w="2132" w:type="dxa"/>
            <w:tcBorders>
              <w:top w:val="nil"/>
              <w:left w:val="nil"/>
              <w:bottom w:val="single" w:sz="4" w:space="0" w:color="auto"/>
              <w:right w:val="single" w:sz="4" w:space="0" w:color="auto"/>
            </w:tcBorders>
            <w:shd w:val="clear" w:color="auto" w:fill="auto"/>
            <w:vAlign w:val="center"/>
            <w:hideMark/>
          </w:tcPr>
          <w:p w14:paraId="6DB527C5"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ERAF Celi uzņēmējdarbības attīstībai - Sēņu iela (SAM 3.3.1.)</w:t>
            </w:r>
          </w:p>
        </w:tc>
        <w:tc>
          <w:tcPr>
            <w:tcW w:w="1275" w:type="dxa"/>
            <w:tcBorders>
              <w:top w:val="nil"/>
              <w:left w:val="nil"/>
              <w:bottom w:val="single" w:sz="4" w:space="0" w:color="auto"/>
              <w:right w:val="single" w:sz="4" w:space="0" w:color="auto"/>
            </w:tcBorders>
            <w:shd w:val="clear" w:color="auto" w:fill="auto"/>
            <w:noWrap/>
            <w:vAlign w:val="center"/>
            <w:hideMark/>
          </w:tcPr>
          <w:p w14:paraId="59C3A17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4116E1B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25DD46B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34EF17FA"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42 405 €</w:t>
            </w:r>
          </w:p>
        </w:tc>
        <w:tc>
          <w:tcPr>
            <w:tcW w:w="1134" w:type="dxa"/>
            <w:tcBorders>
              <w:top w:val="nil"/>
              <w:left w:val="nil"/>
              <w:bottom w:val="single" w:sz="4" w:space="0" w:color="auto"/>
              <w:right w:val="single" w:sz="4" w:space="0" w:color="auto"/>
            </w:tcBorders>
            <w:shd w:val="clear" w:color="auto" w:fill="auto"/>
            <w:noWrap/>
            <w:vAlign w:val="center"/>
            <w:hideMark/>
          </w:tcPr>
          <w:p w14:paraId="53779375"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2D60CDD7"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42 405 €</w:t>
            </w:r>
          </w:p>
        </w:tc>
      </w:tr>
      <w:tr w:rsidR="00CD3D80" w:rsidRPr="00CD3D80" w14:paraId="47CCF139" w14:textId="77777777" w:rsidTr="00A5553B">
        <w:trPr>
          <w:trHeight w:val="9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A16C6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3</w:t>
            </w:r>
          </w:p>
        </w:tc>
        <w:tc>
          <w:tcPr>
            <w:tcW w:w="2132" w:type="dxa"/>
            <w:tcBorders>
              <w:top w:val="nil"/>
              <w:left w:val="nil"/>
              <w:bottom w:val="single" w:sz="4" w:space="0" w:color="auto"/>
              <w:right w:val="single" w:sz="4" w:space="0" w:color="auto"/>
            </w:tcBorders>
            <w:shd w:val="clear" w:color="auto" w:fill="auto"/>
            <w:vAlign w:val="center"/>
            <w:hideMark/>
          </w:tcPr>
          <w:p w14:paraId="2FC8B690"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ERAF Celi uzņēmējdarbības attīstībai - Transporta iela (SAM 3.3.1.)</w:t>
            </w:r>
          </w:p>
        </w:tc>
        <w:tc>
          <w:tcPr>
            <w:tcW w:w="1275" w:type="dxa"/>
            <w:tcBorders>
              <w:top w:val="nil"/>
              <w:left w:val="nil"/>
              <w:bottom w:val="single" w:sz="4" w:space="0" w:color="auto"/>
              <w:right w:val="single" w:sz="4" w:space="0" w:color="auto"/>
            </w:tcBorders>
            <w:shd w:val="clear" w:color="auto" w:fill="auto"/>
            <w:noWrap/>
            <w:vAlign w:val="center"/>
            <w:hideMark/>
          </w:tcPr>
          <w:p w14:paraId="4210718D"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0BE113C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54BF8B4F"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53503861"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409 142 €</w:t>
            </w:r>
          </w:p>
        </w:tc>
        <w:tc>
          <w:tcPr>
            <w:tcW w:w="1134" w:type="dxa"/>
            <w:tcBorders>
              <w:top w:val="nil"/>
              <w:left w:val="nil"/>
              <w:bottom w:val="single" w:sz="4" w:space="0" w:color="auto"/>
              <w:right w:val="single" w:sz="4" w:space="0" w:color="auto"/>
            </w:tcBorders>
            <w:shd w:val="clear" w:color="auto" w:fill="auto"/>
            <w:noWrap/>
            <w:vAlign w:val="center"/>
            <w:hideMark/>
          </w:tcPr>
          <w:p w14:paraId="478FC38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714D915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409 142 €</w:t>
            </w:r>
          </w:p>
        </w:tc>
      </w:tr>
      <w:tr w:rsidR="00CD3D80" w:rsidRPr="00CD3D80" w14:paraId="45E805FA" w14:textId="77777777" w:rsidTr="00A5553B">
        <w:trPr>
          <w:trHeight w:val="120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4EEA0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4</w:t>
            </w:r>
          </w:p>
        </w:tc>
        <w:tc>
          <w:tcPr>
            <w:tcW w:w="2132" w:type="dxa"/>
            <w:tcBorders>
              <w:top w:val="nil"/>
              <w:left w:val="nil"/>
              <w:bottom w:val="single" w:sz="4" w:space="0" w:color="auto"/>
              <w:right w:val="single" w:sz="4" w:space="0" w:color="auto"/>
            </w:tcBorders>
            <w:shd w:val="clear" w:color="auto" w:fill="auto"/>
            <w:vAlign w:val="center"/>
            <w:hideMark/>
          </w:tcPr>
          <w:p w14:paraId="1A75E677" w14:textId="77777777" w:rsidR="00CD3D80" w:rsidRPr="00CD3D80" w:rsidRDefault="00CD3D80" w:rsidP="00CD3D80">
            <w:pPr>
              <w:spacing w:after="0" w:line="240" w:lineRule="auto"/>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ERAF Energoefektivitātes paaugstināšana Salacgrīvas novada domes ēkā (SAM 4.2.2.)</w:t>
            </w:r>
          </w:p>
        </w:tc>
        <w:tc>
          <w:tcPr>
            <w:tcW w:w="1275" w:type="dxa"/>
            <w:tcBorders>
              <w:top w:val="nil"/>
              <w:left w:val="nil"/>
              <w:bottom w:val="single" w:sz="4" w:space="0" w:color="auto"/>
              <w:right w:val="single" w:sz="4" w:space="0" w:color="auto"/>
            </w:tcBorders>
            <w:shd w:val="clear" w:color="auto" w:fill="auto"/>
            <w:noWrap/>
            <w:vAlign w:val="center"/>
            <w:hideMark/>
          </w:tcPr>
          <w:p w14:paraId="381732B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6D01FF0E"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00A2B51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center"/>
            <w:hideMark/>
          </w:tcPr>
          <w:p w14:paraId="7D0A410B"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103 161 €</w:t>
            </w:r>
          </w:p>
        </w:tc>
        <w:tc>
          <w:tcPr>
            <w:tcW w:w="1134" w:type="dxa"/>
            <w:tcBorders>
              <w:top w:val="nil"/>
              <w:left w:val="nil"/>
              <w:bottom w:val="single" w:sz="4" w:space="0" w:color="auto"/>
              <w:right w:val="single" w:sz="4" w:space="0" w:color="auto"/>
            </w:tcBorders>
            <w:shd w:val="clear" w:color="auto" w:fill="auto"/>
            <w:noWrap/>
            <w:vAlign w:val="center"/>
            <w:hideMark/>
          </w:tcPr>
          <w:p w14:paraId="0D6E2F59"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auto" w:fill="auto"/>
            <w:noWrap/>
            <w:vAlign w:val="center"/>
            <w:hideMark/>
          </w:tcPr>
          <w:p w14:paraId="571B1B02"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r w:rsidRPr="00CD3D80">
              <w:rPr>
                <w:rFonts w:ascii="Times New Roman" w:eastAsia="Times New Roman" w:hAnsi="Times New Roman" w:cs="Times New Roman"/>
                <w:color w:val="000000"/>
                <w:sz w:val="20"/>
                <w:szCs w:val="20"/>
                <w:lang w:eastAsia="lv-LV"/>
              </w:rPr>
              <w:t>103 161 €</w:t>
            </w:r>
          </w:p>
        </w:tc>
      </w:tr>
      <w:tr w:rsidR="00CD3D80" w:rsidRPr="00CD3D80" w14:paraId="4773EF54" w14:textId="77777777" w:rsidTr="00A5553B">
        <w:trPr>
          <w:trHeight w:val="300"/>
        </w:trPr>
        <w:tc>
          <w:tcPr>
            <w:tcW w:w="562" w:type="dxa"/>
            <w:tcBorders>
              <w:top w:val="nil"/>
              <w:left w:val="single" w:sz="4" w:space="0" w:color="auto"/>
              <w:bottom w:val="single" w:sz="4" w:space="0" w:color="auto"/>
              <w:right w:val="single" w:sz="4" w:space="0" w:color="auto"/>
            </w:tcBorders>
            <w:shd w:val="clear" w:color="000000" w:fill="FFFF00"/>
            <w:vAlign w:val="center"/>
            <w:hideMark/>
          </w:tcPr>
          <w:p w14:paraId="713A1106"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p>
        </w:tc>
        <w:tc>
          <w:tcPr>
            <w:tcW w:w="2132" w:type="dxa"/>
            <w:tcBorders>
              <w:top w:val="nil"/>
              <w:left w:val="nil"/>
              <w:bottom w:val="single" w:sz="4" w:space="0" w:color="auto"/>
              <w:right w:val="single" w:sz="4" w:space="0" w:color="auto"/>
            </w:tcBorders>
            <w:shd w:val="clear" w:color="000000" w:fill="FFFF00"/>
            <w:vAlign w:val="center"/>
            <w:hideMark/>
          </w:tcPr>
          <w:p w14:paraId="5BABFEC6" w14:textId="77777777" w:rsidR="00CD3D80" w:rsidRPr="00CD3D80" w:rsidRDefault="00CD3D80" w:rsidP="00CD3D80">
            <w:pPr>
              <w:spacing w:after="0" w:line="240" w:lineRule="auto"/>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KOPĀ              plānotie kredīti</w:t>
            </w:r>
          </w:p>
        </w:tc>
        <w:tc>
          <w:tcPr>
            <w:tcW w:w="1275" w:type="dxa"/>
            <w:tcBorders>
              <w:top w:val="nil"/>
              <w:left w:val="nil"/>
              <w:bottom w:val="single" w:sz="4" w:space="0" w:color="auto"/>
              <w:right w:val="single" w:sz="4" w:space="0" w:color="auto"/>
            </w:tcBorders>
            <w:shd w:val="clear" w:color="000000" w:fill="FFFF00"/>
            <w:noWrap/>
            <w:vAlign w:val="center"/>
            <w:hideMark/>
          </w:tcPr>
          <w:p w14:paraId="7059EBD6"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000000" w:fill="FFFF00"/>
            <w:noWrap/>
            <w:vAlign w:val="center"/>
            <w:hideMark/>
          </w:tcPr>
          <w:p w14:paraId="44B95EE3" w14:textId="77777777" w:rsidR="00CD3D80" w:rsidRPr="00CD3D80" w:rsidRDefault="00CD3D80" w:rsidP="00CD3D80">
            <w:pPr>
              <w:spacing w:after="0" w:line="240" w:lineRule="auto"/>
              <w:jc w:val="center"/>
              <w:rPr>
                <w:rFonts w:ascii="Times New Roman" w:eastAsia="Times New Roman" w:hAnsi="Times New Roman" w:cs="Times New Roman"/>
                <w:color w:val="000000"/>
                <w:sz w:val="20"/>
                <w:szCs w:val="20"/>
                <w:lang w:eastAsia="lv-LV"/>
              </w:rPr>
            </w:pPr>
          </w:p>
        </w:tc>
        <w:tc>
          <w:tcPr>
            <w:tcW w:w="1276" w:type="dxa"/>
            <w:tcBorders>
              <w:top w:val="nil"/>
              <w:left w:val="nil"/>
              <w:bottom w:val="single" w:sz="4" w:space="0" w:color="auto"/>
              <w:right w:val="single" w:sz="4" w:space="0" w:color="auto"/>
            </w:tcBorders>
            <w:shd w:val="clear" w:color="000000" w:fill="FFFF00"/>
            <w:noWrap/>
            <w:vAlign w:val="center"/>
            <w:hideMark/>
          </w:tcPr>
          <w:p w14:paraId="167A04E8"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p>
        </w:tc>
        <w:tc>
          <w:tcPr>
            <w:tcW w:w="1134" w:type="dxa"/>
            <w:tcBorders>
              <w:top w:val="nil"/>
              <w:left w:val="nil"/>
              <w:bottom w:val="single" w:sz="4" w:space="0" w:color="auto"/>
              <w:right w:val="single" w:sz="4" w:space="0" w:color="auto"/>
            </w:tcBorders>
            <w:shd w:val="clear" w:color="000000" w:fill="FFFF00"/>
            <w:noWrap/>
            <w:vAlign w:val="center"/>
            <w:hideMark/>
          </w:tcPr>
          <w:p w14:paraId="621AF4F9"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759 587 €</w:t>
            </w:r>
          </w:p>
        </w:tc>
        <w:tc>
          <w:tcPr>
            <w:tcW w:w="1134" w:type="dxa"/>
            <w:tcBorders>
              <w:top w:val="nil"/>
              <w:left w:val="nil"/>
              <w:bottom w:val="single" w:sz="4" w:space="0" w:color="auto"/>
              <w:right w:val="single" w:sz="4" w:space="0" w:color="auto"/>
            </w:tcBorders>
            <w:shd w:val="clear" w:color="000000" w:fill="FFFF00"/>
            <w:noWrap/>
            <w:vAlign w:val="center"/>
            <w:hideMark/>
          </w:tcPr>
          <w:p w14:paraId="3F34D33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6898C2BE" w14:textId="77777777" w:rsidR="00CD3D80" w:rsidRPr="00CD3D80" w:rsidRDefault="00CD3D80" w:rsidP="00CD3D80">
            <w:pPr>
              <w:spacing w:after="0" w:line="240" w:lineRule="auto"/>
              <w:jc w:val="center"/>
              <w:rPr>
                <w:rFonts w:ascii="Times New Roman" w:eastAsia="Times New Roman" w:hAnsi="Times New Roman" w:cs="Times New Roman"/>
                <w:b/>
                <w:bCs/>
                <w:color w:val="000000"/>
                <w:sz w:val="20"/>
                <w:szCs w:val="20"/>
                <w:lang w:eastAsia="lv-LV"/>
              </w:rPr>
            </w:pPr>
            <w:r w:rsidRPr="00CD3D80">
              <w:rPr>
                <w:rFonts w:ascii="Times New Roman" w:eastAsia="Times New Roman" w:hAnsi="Times New Roman" w:cs="Times New Roman"/>
                <w:b/>
                <w:bCs/>
                <w:color w:val="000000"/>
                <w:sz w:val="20"/>
                <w:szCs w:val="20"/>
                <w:lang w:eastAsia="lv-LV"/>
              </w:rPr>
              <w:t>759 587 €</w:t>
            </w:r>
          </w:p>
        </w:tc>
      </w:tr>
    </w:tbl>
    <w:p w14:paraId="3E68D519" w14:textId="77777777" w:rsidR="00CD3D80" w:rsidRPr="00CD3D80" w:rsidRDefault="00CD3D80" w:rsidP="00CD3D80">
      <w:pPr>
        <w:autoSpaceDE w:val="0"/>
        <w:autoSpaceDN w:val="0"/>
        <w:adjustRightInd w:val="0"/>
        <w:spacing w:after="0" w:line="240" w:lineRule="auto"/>
        <w:jc w:val="center"/>
        <w:rPr>
          <w:rFonts w:ascii="Times New Roman" w:eastAsia="Calibri" w:hAnsi="Times New Roman" w:cs="Times New Roman"/>
          <w:b/>
          <w:sz w:val="24"/>
          <w:szCs w:val="24"/>
        </w:rPr>
      </w:pPr>
      <w:r w:rsidRPr="00CD3D80">
        <w:rPr>
          <w:rFonts w:ascii="Times New Roman" w:eastAsia="Calibri" w:hAnsi="Times New Roman" w:cs="Times New Roman"/>
          <w:b/>
          <w:sz w:val="24"/>
          <w:szCs w:val="24"/>
        </w:rPr>
        <w:lastRenderedPageBreak/>
        <w:t>Speciālais budžets</w:t>
      </w:r>
    </w:p>
    <w:p w14:paraId="56C40130"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Speciālā budžeta ieņēmumi 418’942 euro</w:t>
      </w:r>
    </w:p>
    <w:p w14:paraId="386E77DD"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00F92292" w14:textId="59F0023D"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noProof/>
          <w:sz w:val="24"/>
          <w:szCs w:val="24"/>
          <w:lang w:eastAsia="lv-LV"/>
        </w:rPr>
        <w:drawing>
          <wp:inline distT="0" distB="0" distL="0" distR="0" wp14:anchorId="5947BD1D" wp14:editId="16807AB4">
            <wp:extent cx="5850255" cy="3951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255" cy="3951605"/>
                    </a:xfrm>
                    <a:prstGeom prst="rect">
                      <a:avLst/>
                    </a:prstGeom>
                    <a:noFill/>
                  </pic:spPr>
                </pic:pic>
              </a:graphicData>
            </a:graphic>
          </wp:inline>
        </w:drawing>
      </w:r>
    </w:p>
    <w:p w14:paraId="70AFE0E0"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2652E72A"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sz w:val="24"/>
          <w:szCs w:val="24"/>
        </w:rPr>
        <w:t>Speciālā budžeta izdevumi 418’942 euro</w:t>
      </w:r>
    </w:p>
    <w:p w14:paraId="6C39AB5B" w14:textId="77777777"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p>
    <w:p w14:paraId="7B6FBA77" w14:textId="74AAF889" w:rsidR="00CD3D80" w:rsidRPr="00CD3D80" w:rsidRDefault="00CD3D80" w:rsidP="00CD3D80">
      <w:pPr>
        <w:autoSpaceDE w:val="0"/>
        <w:autoSpaceDN w:val="0"/>
        <w:adjustRightInd w:val="0"/>
        <w:spacing w:after="0" w:line="240" w:lineRule="auto"/>
        <w:rPr>
          <w:rFonts w:ascii="Times New Roman" w:eastAsia="Calibri" w:hAnsi="Times New Roman" w:cs="Times New Roman"/>
          <w:sz w:val="24"/>
          <w:szCs w:val="24"/>
        </w:rPr>
      </w:pPr>
      <w:r w:rsidRPr="00CD3D80">
        <w:rPr>
          <w:rFonts w:ascii="Times New Roman" w:eastAsia="Calibri" w:hAnsi="Times New Roman" w:cs="Times New Roman"/>
          <w:noProof/>
          <w:sz w:val="24"/>
          <w:szCs w:val="24"/>
          <w:lang w:eastAsia="lv-LV"/>
        </w:rPr>
        <w:drawing>
          <wp:inline distT="0" distB="0" distL="0" distR="0" wp14:anchorId="302EE7F7" wp14:editId="7BC5F73E">
            <wp:extent cx="5850255" cy="3564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255" cy="3564255"/>
                    </a:xfrm>
                    <a:prstGeom prst="rect">
                      <a:avLst/>
                    </a:prstGeom>
                    <a:noFill/>
                  </pic:spPr>
                </pic:pic>
              </a:graphicData>
            </a:graphic>
          </wp:inline>
        </w:drawing>
      </w:r>
    </w:p>
    <w:p w14:paraId="0F12B072" w14:textId="071B4A34" w:rsidR="00FB08C6" w:rsidRPr="00FB08C6" w:rsidRDefault="00FB08C6" w:rsidP="00CD3D80">
      <w:pPr>
        <w:autoSpaceDE w:val="0"/>
        <w:autoSpaceDN w:val="0"/>
        <w:adjustRightInd w:val="0"/>
        <w:spacing w:after="0" w:line="240" w:lineRule="auto"/>
        <w:rPr>
          <w:rFonts w:ascii="Times New Roman" w:hAnsi="Times New Roman" w:cs="Times New Roman"/>
          <w:b/>
          <w:sz w:val="24"/>
          <w:szCs w:val="24"/>
        </w:rPr>
      </w:pPr>
    </w:p>
    <w:sectPr w:rsidR="00FB08C6" w:rsidRPr="00FB08C6" w:rsidSect="00C217AA">
      <w:pgSz w:w="11906" w:h="16838"/>
      <w:pgMar w:top="1276" w:right="992"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38088" w14:textId="77777777" w:rsidR="009C1598" w:rsidRDefault="009C1598" w:rsidP="00A86842">
      <w:pPr>
        <w:spacing w:after="0" w:line="240" w:lineRule="auto"/>
      </w:pPr>
      <w:r>
        <w:separator/>
      </w:r>
    </w:p>
  </w:endnote>
  <w:endnote w:type="continuationSeparator" w:id="0">
    <w:p w14:paraId="7B21326C" w14:textId="77777777" w:rsidR="009C1598" w:rsidRDefault="009C1598" w:rsidP="00A86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C4A0" w14:textId="7F8C6033" w:rsidR="00A5553B" w:rsidRDefault="00A5553B" w:rsidP="00A86842">
    <w:pPr>
      <w:pStyle w:val="Footer"/>
      <w:jc w:val="center"/>
    </w:pPr>
    <w:r>
      <w:t>PASKAIDROJUMA RAKSTS</w:t>
    </w:r>
  </w:p>
  <w:p w14:paraId="47539151" w14:textId="5C503212" w:rsidR="00A5553B" w:rsidRDefault="00A5553B" w:rsidP="00A86842">
    <w:pPr>
      <w:pStyle w:val="Footer"/>
      <w:jc w:val="center"/>
    </w:pPr>
    <w:r>
      <w:t>par Salacgrīvas novada pašvaldības 2019.gada budžetu Saistošie noteikumi Nr. B-1</w:t>
    </w:r>
  </w:p>
  <w:p w14:paraId="51CB02F7" w14:textId="77777777" w:rsidR="00A5553B" w:rsidRDefault="00A55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E4755" w14:textId="77777777" w:rsidR="009C1598" w:rsidRDefault="009C1598" w:rsidP="00A86842">
      <w:pPr>
        <w:spacing w:after="0" w:line="240" w:lineRule="auto"/>
      </w:pPr>
      <w:r>
        <w:separator/>
      </w:r>
    </w:p>
  </w:footnote>
  <w:footnote w:type="continuationSeparator" w:id="0">
    <w:p w14:paraId="1141CE10" w14:textId="77777777" w:rsidR="009C1598" w:rsidRDefault="009C1598" w:rsidP="00A868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25pt;height:450pt" o:bullet="t">
        <v:imagedata r:id="rId1" o:title="clip_image001"/>
      </v:shape>
    </w:pict>
  </w:numPicBullet>
  <w:abstractNum w:abstractNumId="0" w15:restartNumberingAfterBreak="0">
    <w:nsid w:val="0D3E2BE5"/>
    <w:multiLevelType w:val="hybridMultilevel"/>
    <w:tmpl w:val="741CE1A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1BC91558"/>
    <w:multiLevelType w:val="hybridMultilevel"/>
    <w:tmpl w:val="37366DB6"/>
    <w:lvl w:ilvl="0" w:tplc="135ACA1C">
      <w:start w:val="2019"/>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1284346"/>
    <w:multiLevelType w:val="hybridMultilevel"/>
    <w:tmpl w:val="4B846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7100E7B"/>
    <w:multiLevelType w:val="hybridMultilevel"/>
    <w:tmpl w:val="6944E6B2"/>
    <w:lvl w:ilvl="0" w:tplc="CC22C8AE">
      <w:start w:val="2019"/>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5B9E7669"/>
    <w:multiLevelType w:val="hybridMultilevel"/>
    <w:tmpl w:val="F67E0396"/>
    <w:lvl w:ilvl="0" w:tplc="0426000B">
      <w:start w:val="1"/>
      <w:numFmt w:val="bullet"/>
      <w:lvlText w:val=""/>
      <w:lvlJc w:val="left"/>
      <w:pPr>
        <w:ind w:left="108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D654525"/>
    <w:multiLevelType w:val="hybridMultilevel"/>
    <w:tmpl w:val="C8FC0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9B45974"/>
    <w:multiLevelType w:val="hybridMultilevel"/>
    <w:tmpl w:val="09684E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8C6"/>
    <w:rsid w:val="000126A9"/>
    <w:rsid w:val="00042003"/>
    <w:rsid w:val="00070B32"/>
    <w:rsid w:val="00080E7A"/>
    <w:rsid w:val="0009258C"/>
    <w:rsid w:val="00094EAF"/>
    <w:rsid w:val="000B6E1A"/>
    <w:rsid w:val="001420D2"/>
    <w:rsid w:val="00152133"/>
    <w:rsid w:val="00155177"/>
    <w:rsid w:val="001D1B47"/>
    <w:rsid w:val="001F492F"/>
    <w:rsid w:val="00200C24"/>
    <w:rsid w:val="0022147F"/>
    <w:rsid w:val="00251A70"/>
    <w:rsid w:val="002D0708"/>
    <w:rsid w:val="002D3C60"/>
    <w:rsid w:val="002E21F1"/>
    <w:rsid w:val="002F329F"/>
    <w:rsid w:val="00311C40"/>
    <w:rsid w:val="0040072E"/>
    <w:rsid w:val="00404B80"/>
    <w:rsid w:val="004157AD"/>
    <w:rsid w:val="00433316"/>
    <w:rsid w:val="00453657"/>
    <w:rsid w:val="0047271C"/>
    <w:rsid w:val="0049422E"/>
    <w:rsid w:val="004B388F"/>
    <w:rsid w:val="004C031E"/>
    <w:rsid w:val="004F121C"/>
    <w:rsid w:val="00530B94"/>
    <w:rsid w:val="00550D84"/>
    <w:rsid w:val="005A6B3D"/>
    <w:rsid w:val="005A7329"/>
    <w:rsid w:val="005B5AE8"/>
    <w:rsid w:val="00620531"/>
    <w:rsid w:val="00675567"/>
    <w:rsid w:val="0068225A"/>
    <w:rsid w:val="00725F58"/>
    <w:rsid w:val="0078531E"/>
    <w:rsid w:val="007857FE"/>
    <w:rsid w:val="007A7D33"/>
    <w:rsid w:val="007B75FF"/>
    <w:rsid w:val="00800C92"/>
    <w:rsid w:val="008035B7"/>
    <w:rsid w:val="0084296D"/>
    <w:rsid w:val="0084517D"/>
    <w:rsid w:val="0089447F"/>
    <w:rsid w:val="008D6182"/>
    <w:rsid w:val="009039A1"/>
    <w:rsid w:val="00920EFE"/>
    <w:rsid w:val="0092451F"/>
    <w:rsid w:val="009559C9"/>
    <w:rsid w:val="00981647"/>
    <w:rsid w:val="009A44E1"/>
    <w:rsid w:val="009C1598"/>
    <w:rsid w:val="009E00B7"/>
    <w:rsid w:val="009F71C6"/>
    <w:rsid w:val="00A50CCF"/>
    <w:rsid w:val="00A5553B"/>
    <w:rsid w:val="00A70735"/>
    <w:rsid w:val="00A86842"/>
    <w:rsid w:val="00B4274D"/>
    <w:rsid w:val="00C217AA"/>
    <w:rsid w:val="00C61AF6"/>
    <w:rsid w:val="00CD3D80"/>
    <w:rsid w:val="00D06C00"/>
    <w:rsid w:val="00DA5E68"/>
    <w:rsid w:val="00DB6D22"/>
    <w:rsid w:val="00DE03AF"/>
    <w:rsid w:val="00E1494D"/>
    <w:rsid w:val="00E17C68"/>
    <w:rsid w:val="00E735AE"/>
    <w:rsid w:val="00E932F7"/>
    <w:rsid w:val="00F00DE2"/>
    <w:rsid w:val="00F406DA"/>
    <w:rsid w:val="00FB08C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E007F"/>
  <w15:docId w15:val="{E6C5E86A-9824-41FC-8CC8-D4A36C70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17D"/>
    <w:rPr>
      <w:rFonts w:ascii="Tahoma" w:hAnsi="Tahoma" w:cs="Tahoma"/>
      <w:sz w:val="16"/>
      <w:szCs w:val="16"/>
    </w:rPr>
  </w:style>
  <w:style w:type="paragraph" w:styleId="ListParagraph">
    <w:name w:val="List Paragraph"/>
    <w:basedOn w:val="Normal"/>
    <w:uiPriority w:val="34"/>
    <w:qFormat/>
    <w:rsid w:val="009039A1"/>
    <w:pPr>
      <w:ind w:left="720"/>
      <w:contextualSpacing/>
    </w:pPr>
  </w:style>
  <w:style w:type="paragraph" w:styleId="Header">
    <w:name w:val="header"/>
    <w:basedOn w:val="Normal"/>
    <w:link w:val="HeaderChar"/>
    <w:uiPriority w:val="99"/>
    <w:unhideWhenUsed/>
    <w:rsid w:val="00A868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86842"/>
  </w:style>
  <w:style w:type="paragraph" w:styleId="Footer">
    <w:name w:val="footer"/>
    <w:basedOn w:val="Normal"/>
    <w:link w:val="FooterChar"/>
    <w:uiPriority w:val="99"/>
    <w:unhideWhenUsed/>
    <w:rsid w:val="00A8684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86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7082">
      <w:bodyDiv w:val="1"/>
      <w:marLeft w:val="0"/>
      <w:marRight w:val="0"/>
      <w:marTop w:val="0"/>
      <w:marBottom w:val="0"/>
      <w:divBdr>
        <w:top w:val="none" w:sz="0" w:space="0" w:color="auto"/>
        <w:left w:val="none" w:sz="0" w:space="0" w:color="auto"/>
        <w:bottom w:val="none" w:sz="0" w:space="0" w:color="auto"/>
        <w:right w:val="none" w:sz="0" w:space="0" w:color="auto"/>
      </w:divBdr>
    </w:div>
    <w:div w:id="343244368">
      <w:bodyDiv w:val="1"/>
      <w:marLeft w:val="0"/>
      <w:marRight w:val="0"/>
      <w:marTop w:val="0"/>
      <w:marBottom w:val="0"/>
      <w:divBdr>
        <w:top w:val="none" w:sz="0" w:space="0" w:color="auto"/>
        <w:left w:val="none" w:sz="0" w:space="0" w:color="auto"/>
        <w:bottom w:val="none" w:sz="0" w:space="0" w:color="auto"/>
        <w:right w:val="none" w:sz="0" w:space="0" w:color="auto"/>
      </w:divBdr>
    </w:div>
    <w:div w:id="460224276">
      <w:bodyDiv w:val="1"/>
      <w:marLeft w:val="0"/>
      <w:marRight w:val="0"/>
      <w:marTop w:val="0"/>
      <w:marBottom w:val="0"/>
      <w:divBdr>
        <w:top w:val="none" w:sz="0" w:space="0" w:color="auto"/>
        <w:left w:val="none" w:sz="0" w:space="0" w:color="auto"/>
        <w:bottom w:val="none" w:sz="0" w:space="0" w:color="auto"/>
        <w:right w:val="none" w:sz="0" w:space="0" w:color="auto"/>
      </w:divBdr>
    </w:div>
    <w:div w:id="833764405">
      <w:bodyDiv w:val="1"/>
      <w:marLeft w:val="0"/>
      <w:marRight w:val="0"/>
      <w:marTop w:val="0"/>
      <w:marBottom w:val="0"/>
      <w:divBdr>
        <w:top w:val="none" w:sz="0" w:space="0" w:color="auto"/>
        <w:left w:val="none" w:sz="0" w:space="0" w:color="auto"/>
        <w:bottom w:val="none" w:sz="0" w:space="0" w:color="auto"/>
        <w:right w:val="none" w:sz="0" w:space="0" w:color="auto"/>
      </w:divBdr>
    </w:div>
    <w:div w:id="1012224465">
      <w:bodyDiv w:val="1"/>
      <w:marLeft w:val="0"/>
      <w:marRight w:val="0"/>
      <w:marTop w:val="0"/>
      <w:marBottom w:val="0"/>
      <w:divBdr>
        <w:top w:val="none" w:sz="0" w:space="0" w:color="auto"/>
        <w:left w:val="none" w:sz="0" w:space="0" w:color="auto"/>
        <w:bottom w:val="none" w:sz="0" w:space="0" w:color="auto"/>
        <w:right w:val="none" w:sz="0" w:space="0" w:color="auto"/>
      </w:divBdr>
    </w:div>
    <w:div w:id="1121070112">
      <w:bodyDiv w:val="1"/>
      <w:marLeft w:val="0"/>
      <w:marRight w:val="0"/>
      <w:marTop w:val="0"/>
      <w:marBottom w:val="0"/>
      <w:divBdr>
        <w:top w:val="none" w:sz="0" w:space="0" w:color="auto"/>
        <w:left w:val="none" w:sz="0" w:space="0" w:color="auto"/>
        <w:bottom w:val="none" w:sz="0" w:space="0" w:color="auto"/>
        <w:right w:val="none" w:sz="0" w:space="0" w:color="auto"/>
      </w:divBdr>
    </w:div>
    <w:div w:id="1297756289">
      <w:bodyDiv w:val="1"/>
      <w:marLeft w:val="0"/>
      <w:marRight w:val="0"/>
      <w:marTop w:val="0"/>
      <w:marBottom w:val="0"/>
      <w:divBdr>
        <w:top w:val="none" w:sz="0" w:space="0" w:color="auto"/>
        <w:left w:val="none" w:sz="0" w:space="0" w:color="auto"/>
        <w:bottom w:val="none" w:sz="0" w:space="0" w:color="auto"/>
        <w:right w:val="none" w:sz="0" w:space="0" w:color="auto"/>
      </w:divBdr>
    </w:div>
    <w:div w:id="1393233612">
      <w:bodyDiv w:val="1"/>
      <w:marLeft w:val="0"/>
      <w:marRight w:val="0"/>
      <w:marTop w:val="0"/>
      <w:marBottom w:val="0"/>
      <w:divBdr>
        <w:top w:val="none" w:sz="0" w:space="0" w:color="auto"/>
        <w:left w:val="none" w:sz="0" w:space="0" w:color="auto"/>
        <w:bottom w:val="none" w:sz="0" w:space="0" w:color="auto"/>
        <w:right w:val="none" w:sz="0" w:space="0" w:color="auto"/>
      </w:divBdr>
    </w:div>
    <w:div w:id="1410616460">
      <w:bodyDiv w:val="1"/>
      <w:marLeft w:val="0"/>
      <w:marRight w:val="0"/>
      <w:marTop w:val="0"/>
      <w:marBottom w:val="0"/>
      <w:divBdr>
        <w:top w:val="none" w:sz="0" w:space="0" w:color="auto"/>
        <w:left w:val="none" w:sz="0" w:space="0" w:color="auto"/>
        <w:bottom w:val="none" w:sz="0" w:space="0" w:color="auto"/>
        <w:right w:val="none" w:sz="0" w:space="0" w:color="auto"/>
      </w:divBdr>
    </w:div>
    <w:div w:id="1423406853">
      <w:bodyDiv w:val="1"/>
      <w:marLeft w:val="0"/>
      <w:marRight w:val="0"/>
      <w:marTop w:val="0"/>
      <w:marBottom w:val="0"/>
      <w:divBdr>
        <w:top w:val="none" w:sz="0" w:space="0" w:color="auto"/>
        <w:left w:val="none" w:sz="0" w:space="0" w:color="auto"/>
        <w:bottom w:val="none" w:sz="0" w:space="0" w:color="auto"/>
        <w:right w:val="none" w:sz="0" w:space="0" w:color="auto"/>
      </w:divBdr>
    </w:div>
    <w:div w:id="1708949414">
      <w:bodyDiv w:val="1"/>
      <w:marLeft w:val="0"/>
      <w:marRight w:val="0"/>
      <w:marTop w:val="0"/>
      <w:marBottom w:val="0"/>
      <w:divBdr>
        <w:top w:val="none" w:sz="0" w:space="0" w:color="auto"/>
        <w:left w:val="none" w:sz="0" w:space="0" w:color="auto"/>
        <w:bottom w:val="none" w:sz="0" w:space="0" w:color="auto"/>
        <w:right w:val="none" w:sz="0" w:space="0" w:color="auto"/>
      </w:divBdr>
    </w:div>
    <w:div w:id="211165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diagramQuickStyle" Target="diagrams/quickStyle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emf"/><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emf"/><Relationship Id="rId10" Type="http://schemas.openxmlformats.org/officeDocument/2006/relationships/chart" Target="charts/chart3.xml"/><Relationship Id="rId19" Type="http://schemas.openxmlformats.org/officeDocument/2006/relationships/diagramColors" Target="diagrams/colors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lineChart>
        <c:grouping val="standard"/>
        <c:varyColors val="0"/>
        <c:ser>
          <c:idx val="0"/>
          <c:order val="0"/>
          <c:tx>
            <c:strRef>
              <c:f>Sheet1!$B$1</c:f>
              <c:strCache>
                <c:ptCount val="1"/>
                <c:pt idx="0">
                  <c:v>Iedzīvotāju skaits Salacgrīvas novadā uz 1.janvāri 2010.-2018.gadā</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9460</c:v>
                </c:pt>
                <c:pt idx="1">
                  <c:v>9355</c:v>
                </c:pt>
                <c:pt idx="2">
                  <c:v>9102</c:v>
                </c:pt>
                <c:pt idx="3">
                  <c:v>9021</c:v>
                </c:pt>
                <c:pt idx="4">
                  <c:v>8766</c:v>
                </c:pt>
                <c:pt idx="5">
                  <c:v>8658</c:v>
                </c:pt>
                <c:pt idx="6">
                  <c:v>8516</c:v>
                </c:pt>
                <c:pt idx="7">
                  <c:v>8219</c:v>
                </c:pt>
                <c:pt idx="8">
                  <c:v>8024</c:v>
                </c:pt>
              </c:numCache>
            </c:numRef>
          </c:val>
          <c:smooth val="0"/>
          <c:extLst>
            <c:ext xmlns:c16="http://schemas.microsoft.com/office/drawing/2014/chart" uri="{C3380CC4-5D6E-409C-BE32-E72D297353CC}">
              <c16:uniqueId val="{00000000-79B7-4DA7-8676-16B1A9DDCE8B}"/>
            </c:ext>
          </c:extLst>
        </c:ser>
        <c:dLbls>
          <c:dLblPos val="ctr"/>
          <c:showLegendKey val="0"/>
          <c:showVal val="1"/>
          <c:showCatName val="0"/>
          <c:showSerName val="0"/>
          <c:showPercent val="0"/>
          <c:showBubbleSize val="0"/>
        </c:dLbls>
        <c:marker val="1"/>
        <c:smooth val="0"/>
        <c:axId val="371969640"/>
        <c:axId val="371970032"/>
      </c:lineChart>
      <c:catAx>
        <c:axId val="371969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371970032"/>
        <c:crosses val="autoZero"/>
        <c:auto val="1"/>
        <c:lblAlgn val="ctr"/>
        <c:lblOffset val="100"/>
        <c:noMultiLvlLbl val="0"/>
      </c:catAx>
      <c:valAx>
        <c:axId val="371970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1969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t>Iedzīvotāju</a:t>
            </a:r>
            <a:r>
              <a:rPr lang="lv-LV" b="1" baseline="0"/>
              <a:t> skaita izmaiņas pa dzimumiem</a:t>
            </a:r>
            <a:endParaRPr lang="lv-LV" b="1"/>
          </a:p>
        </c:rich>
      </c:tx>
      <c:overlay val="0"/>
      <c:spPr>
        <a:noFill/>
        <a:ln>
          <a:noFill/>
        </a:ln>
        <a:effectLst/>
      </c:spPr>
    </c:title>
    <c:autoTitleDeleted val="0"/>
    <c:plotArea>
      <c:layout/>
      <c:barChart>
        <c:barDir val="col"/>
        <c:grouping val="clustered"/>
        <c:varyColors val="0"/>
        <c:ser>
          <c:idx val="0"/>
          <c:order val="0"/>
          <c:tx>
            <c:strRef>
              <c:f>Sheet1!$B$1</c:f>
              <c:strCache>
                <c:ptCount val="1"/>
                <c:pt idx="0">
                  <c:v>Vīrieši</c:v>
                </c:pt>
              </c:strCache>
            </c:strRef>
          </c:tx>
          <c:spPr>
            <a:solidFill>
              <a:schemeClr val="accent1"/>
            </a:solidFill>
            <a:ln>
              <a:noFill/>
            </a:ln>
            <a:effectLst/>
          </c:spPr>
          <c:invertIfNegative val="0"/>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4532</c:v>
                </c:pt>
                <c:pt idx="1">
                  <c:v>4497</c:v>
                </c:pt>
                <c:pt idx="2">
                  <c:v>4419</c:v>
                </c:pt>
                <c:pt idx="3">
                  <c:v>4345</c:v>
                </c:pt>
                <c:pt idx="4">
                  <c:v>4241</c:v>
                </c:pt>
                <c:pt idx="5">
                  <c:v>4193</c:v>
                </c:pt>
                <c:pt idx="6">
                  <c:v>4134</c:v>
                </c:pt>
                <c:pt idx="7">
                  <c:v>4007</c:v>
                </c:pt>
                <c:pt idx="8">
                  <c:v>3932</c:v>
                </c:pt>
              </c:numCache>
            </c:numRef>
          </c:val>
          <c:extLst>
            <c:ext xmlns:c16="http://schemas.microsoft.com/office/drawing/2014/chart" uri="{C3380CC4-5D6E-409C-BE32-E72D297353CC}">
              <c16:uniqueId val="{00000000-72B7-4840-BC0E-D5CC0E61D7F5}"/>
            </c:ext>
          </c:extLst>
        </c:ser>
        <c:ser>
          <c:idx val="1"/>
          <c:order val="1"/>
          <c:tx>
            <c:strRef>
              <c:f>Sheet1!$C$1</c:f>
              <c:strCache>
                <c:ptCount val="1"/>
                <c:pt idx="0">
                  <c:v>Sievietes</c:v>
                </c:pt>
              </c:strCache>
            </c:strRef>
          </c:tx>
          <c:spPr>
            <a:solidFill>
              <a:schemeClr val="accent2"/>
            </a:solidFill>
            <a:ln>
              <a:noFill/>
            </a:ln>
            <a:effectLst/>
          </c:spPr>
          <c:invertIfNegative val="0"/>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Sheet1!$C$2:$C$10</c:f>
              <c:numCache>
                <c:formatCode>General</c:formatCode>
                <c:ptCount val="9"/>
                <c:pt idx="0">
                  <c:v>4928</c:v>
                </c:pt>
                <c:pt idx="1">
                  <c:v>4858</c:v>
                </c:pt>
                <c:pt idx="2">
                  <c:v>4755</c:v>
                </c:pt>
                <c:pt idx="3">
                  <c:v>4676</c:v>
                </c:pt>
                <c:pt idx="4">
                  <c:v>4525</c:v>
                </c:pt>
                <c:pt idx="5">
                  <c:v>4465</c:v>
                </c:pt>
                <c:pt idx="6">
                  <c:v>4382</c:v>
                </c:pt>
                <c:pt idx="7">
                  <c:v>4212</c:v>
                </c:pt>
                <c:pt idx="8">
                  <c:v>4092</c:v>
                </c:pt>
              </c:numCache>
            </c:numRef>
          </c:val>
          <c:extLst>
            <c:ext xmlns:c16="http://schemas.microsoft.com/office/drawing/2014/chart" uri="{C3380CC4-5D6E-409C-BE32-E72D297353CC}">
              <c16:uniqueId val="{00000001-72B7-4840-BC0E-D5CC0E61D7F5}"/>
            </c:ext>
          </c:extLst>
        </c:ser>
        <c:dLbls>
          <c:showLegendKey val="0"/>
          <c:showVal val="0"/>
          <c:showCatName val="0"/>
          <c:showSerName val="0"/>
          <c:showPercent val="0"/>
          <c:showBubbleSize val="0"/>
        </c:dLbls>
        <c:gapWidth val="219"/>
        <c:overlap val="-27"/>
        <c:axId val="371971208"/>
        <c:axId val="371969248"/>
      </c:barChart>
      <c:catAx>
        <c:axId val="371971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1969248"/>
        <c:crosses val="autoZero"/>
        <c:auto val="1"/>
        <c:lblAlgn val="ctr"/>
        <c:lblOffset val="100"/>
        <c:noMultiLvlLbl val="0"/>
      </c:catAx>
      <c:valAx>
        <c:axId val="37196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1971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Darbaspējas vecuma struktūra</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DEA-48C4-930B-0D77ACEDC72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DEA-48C4-930B-0D77ACEDC72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DEA-48C4-930B-0D77ACEDC7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Līdz darbaspējas vecumam</c:v>
                </c:pt>
                <c:pt idx="1">
                  <c:v>Darbaspējas vecumā</c:v>
                </c:pt>
                <c:pt idx="2">
                  <c:v>Pēc darbaspējas</c:v>
                </c:pt>
              </c:strCache>
            </c:strRef>
          </c:cat>
          <c:val>
            <c:numRef>
              <c:f>Sheet1!$B$2:$B$4</c:f>
              <c:numCache>
                <c:formatCode>General</c:formatCode>
                <c:ptCount val="3"/>
                <c:pt idx="0">
                  <c:v>928</c:v>
                </c:pt>
                <c:pt idx="1">
                  <c:v>5262</c:v>
                </c:pt>
                <c:pt idx="2">
                  <c:v>1834</c:v>
                </c:pt>
              </c:numCache>
            </c:numRef>
          </c:val>
          <c:extLst>
            <c:ext xmlns:c16="http://schemas.microsoft.com/office/drawing/2014/chart" uri="{C3380CC4-5D6E-409C-BE32-E72D297353CC}">
              <c16:uniqueId val="{00000006-CDEA-48C4-930B-0D77ACEDC726}"/>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Darbaspējas  dzimuma struktūra novadā</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Vīrieši </c:v>
                </c:pt>
              </c:strCache>
            </c:strRef>
          </c:tx>
          <c:spPr>
            <a:solidFill>
              <a:schemeClr val="accent1"/>
            </a:solidFill>
            <a:ln>
              <a:noFill/>
            </a:ln>
            <a:effectLst/>
          </c:spPr>
          <c:invertIfNegative val="0"/>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3196</c:v>
                </c:pt>
                <c:pt idx="1">
                  <c:v>3186</c:v>
                </c:pt>
                <c:pt idx="2">
                  <c:v>3128</c:v>
                </c:pt>
                <c:pt idx="3">
                  <c:v>3088</c:v>
                </c:pt>
                <c:pt idx="4">
                  <c:v>3013</c:v>
                </c:pt>
                <c:pt idx="5">
                  <c:v>2951</c:v>
                </c:pt>
                <c:pt idx="6">
                  <c:v>2902</c:v>
                </c:pt>
                <c:pt idx="7">
                  <c:v>2820</c:v>
                </c:pt>
                <c:pt idx="8">
                  <c:v>2772</c:v>
                </c:pt>
              </c:numCache>
            </c:numRef>
          </c:val>
          <c:extLst>
            <c:ext xmlns:c16="http://schemas.microsoft.com/office/drawing/2014/chart" uri="{C3380CC4-5D6E-409C-BE32-E72D297353CC}">
              <c16:uniqueId val="{00000000-3BC5-4B6F-8FD5-1A12C0D205B2}"/>
            </c:ext>
          </c:extLst>
        </c:ser>
        <c:ser>
          <c:idx val="1"/>
          <c:order val="1"/>
          <c:tx>
            <c:strRef>
              <c:f>Sheet1!$C$1</c:f>
              <c:strCache>
                <c:ptCount val="1"/>
                <c:pt idx="0">
                  <c:v>Sievietes</c:v>
                </c:pt>
              </c:strCache>
            </c:strRef>
          </c:tx>
          <c:spPr>
            <a:solidFill>
              <a:schemeClr val="accent2"/>
            </a:solidFill>
            <a:ln>
              <a:noFill/>
            </a:ln>
            <a:effectLst/>
          </c:spPr>
          <c:invertIfNegative val="0"/>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Sheet1!$C$2:$C$10</c:f>
              <c:numCache>
                <c:formatCode>General</c:formatCode>
                <c:ptCount val="9"/>
                <c:pt idx="0">
                  <c:v>3018</c:v>
                </c:pt>
                <c:pt idx="1">
                  <c:v>2989</c:v>
                </c:pt>
                <c:pt idx="2">
                  <c:v>2946</c:v>
                </c:pt>
                <c:pt idx="3">
                  <c:v>2906</c:v>
                </c:pt>
                <c:pt idx="4">
                  <c:v>2799</c:v>
                </c:pt>
                <c:pt idx="5">
                  <c:v>2742</c:v>
                </c:pt>
                <c:pt idx="6">
                  <c:v>2670</c:v>
                </c:pt>
                <c:pt idx="7">
                  <c:v>2568</c:v>
                </c:pt>
                <c:pt idx="8">
                  <c:v>2490</c:v>
                </c:pt>
              </c:numCache>
            </c:numRef>
          </c:val>
          <c:extLst>
            <c:ext xmlns:c16="http://schemas.microsoft.com/office/drawing/2014/chart" uri="{C3380CC4-5D6E-409C-BE32-E72D297353CC}">
              <c16:uniqueId val="{00000001-3BC5-4B6F-8FD5-1A12C0D205B2}"/>
            </c:ext>
          </c:extLst>
        </c:ser>
        <c:dLbls>
          <c:showLegendKey val="0"/>
          <c:showVal val="0"/>
          <c:showCatName val="0"/>
          <c:showSerName val="0"/>
          <c:showPercent val="0"/>
          <c:showBubbleSize val="0"/>
        </c:dLbls>
        <c:gapWidth val="219"/>
        <c:overlap val="-27"/>
        <c:axId val="479367352"/>
        <c:axId val="479367744"/>
      </c:barChart>
      <c:catAx>
        <c:axId val="47936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9367744"/>
        <c:crosses val="autoZero"/>
        <c:auto val="1"/>
        <c:lblAlgn val="ctr"/>
        <c:lblOffset val="100"/>
        <c:noMultiLvlLbl val="0"/>
      </c:catAx>
      <c:valAx>
        <c:axId val="47936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9367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Iedzīvotāju</a:t>
            </a:r>
            <a:r>
              <a:rPr lang="lv-LV" baseline="0"/>
              <a:t> vecuma grupas uz 2018.gada 1.janvāri</a:t>
            </a:r>
            <a:endParaRPr lang="lv-LV"/>
          </a:p>
        </c:rich>
      </c:tx>
      <c:overlay val="0"/>
      <c:spPr>
        <a:noFill/>
        <a:ln>
          <a:noFill/>
        </a:ln>
        <a:effectLst/>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81-4E4B-A651-72B1274E98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81-4E4B-A651-72B1274E98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81-4E4B-A651-72B1274E98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81-4E4B-A651-72B1274E98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81-4E4B-A651-72B1274E9833}"/>
              </c:ext>
            </c:extLst>
          </c:dPt>
          <c:cat>
            <c:strRef>
              <c:f>Sheet1!$A$2:$A$6</c:f>
              <c:strCache>
                <c:ptCount val="5"/>
                <c:pt idx="0">
                  <c:v>0-14</c:v>
                </c:pt>
                <c:pt idx="1">
                  <c:v>15-24</c:v>
                </c:pt>
                <c:pt idx="2">
                  <c:v>25-49</c:v>
                </c:pt>
                <c:pt idx="3">
                  <c:v>50-64</c:v>
                </c:pt>
                <c:pt idx="4">
                  <c:v>65&lt;</c:v>
                </c:pt>
              </c:strCache>
            </c:strRef>
          </c:cat>
          <c:val>
            <c:numRef>
              <c:f>Sheet1!$B$2:$B$6</c:f>
              <c:numCache>
                <c:formatCode>General</c:formatCode>
                <c:ptCount val="5"/>
                <c:pt idx="0">
                  <c:v>907</c:v>
                </c:pt>
                <c:pt idx="1">
                  <c:v>760</c:v>
                </c:pt>
                <c:pt idx="2">
                  <c:v>2367</c:v>
                </c:pt>
                <c:pt idx="3">
                  <c:v>1738</c:v>
                </c:pt>
                <c:pt idx="4">
                  <c:v>1654</c:v>
                </c:pt>
              </c:numCache>
            </c:numRef>
          </c:val>
          <c:extLst>
            <c:ext xmlns:c16="http://schemas.microsoft.com/office/drawing/2014/chart" uri="{C3380CC4-5D6E-409C-BE32-E72D297353CC}">
              <c16:uniqueId val="{0000000A-C081-4E4B-A651-72B1274E98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Vecuma un dzimuma struktūra uz 2018.gada sākumu</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Vīrieši</c:v>
                </c:pt>
              </c:strCache>
            </c:strRef>
          </c:tx>
          <c:spPr>
            <a:solidFill>
              <a:schemeClr val="accent1"/>
            </a:solidFill>
            <a:ln>
              <a:noFill/>
            </a:ln>
            <a:effectLst/>
          </c:spPr>
          <c:invertIfNegative val="0"/>
          <c:cat>
            <c:strRef>
              <c:f>Sheet1!$A$2:$A$7</c:f>
              <c:strCache>
                <c:ptCount val="5"/>
                <c:pt idx="0">
                  <c:v>0-14</c:v>
                </c:pt>
                <c:pt idx="1">
                  <c:v>15-24</c:v>
                </c:pt>
                <c:pt idx="2">
                  <c:v>25-49</c:v>
                </c:pt>
                <c:pt idx="3">
                  <c:v>50-64</c:v>
                </c:pt>
                <c:pt idx="4">
                  <c:v>65&lt;</c:v>
                </c:pt>
              </c:strCache>
            </c:strRef>
          </c:cat>
          <c:val>
            <c:numRef>
              <c:f>Sheet1!$B$2:$B$7</c:f>
              <c:numCache>
                <c:formatCode>General</c:formatCode>
                <c:ptCount val="6"/>
                <c:pt idx="0">
                  <c:v>487</c:v>
                </c:pt>
                <c:pt idx="1">
                  <c:v>397</c:v>
                </c:pt>
                <c:pt idx="2">
                  <c:v>1255</c:v>
                </c:pt>
                <c:pt idx="3">
                  <c:v>853</c:v>
                </c:pt>
                <c:pt idx="4">
                  <c:v>576</c:v>
                </c:pt>
              </c:numCache>
            </c:numRef>
          </c:val>
          <c:extLst>
            <c:ext xmlns:c16="http://schemas.microsoft.com/office/drawing/2014/chart" uri="{C3380CC4-5D6E-409C-BE32-E72D297353CC}">
              <c16:uniqueId val="{00000000-2E63-463A-BC11-F061EB6D8CEA}"/>
            </c:ext>
          </c:extLst>
        </c:ser>
        <c:ser>
          <c:idx val="1"/>
          <c:order val="1"/>
          <c:tx>
            <c:strRef>
              <c:f>Sheet1!$C$1</c:f>
              <c:strCache>
                <c:ptCount val="1"/>
                <c:pt idx="0">
                  <c:v>Sievietes</c:v>
                </c:pt>
              </c:strCache>
            </c:strRef>
          </c:tx>
          <c:spPr>
            <a:solidFill>
              <a:schemeClr val="accent2"/>
            </a:solidFill>
            <a:ln>
              <a:noFill/>
            </a:ln>
            <a:effectLst/>
          </c:spPr>
          <c:invertIfNegative val="0"/>
          <c:cat>
            <c:strRef>
              <c:f>Sheet1!$A$2:$A$7</c:f>
              <c:strCache>
                <c:ptCount val="5"/>
                <c:pt idx="0">
                  <c:v>0-14</c:v>
                </c:pt>
                <c:pt idx="1">
                  <c:v>15-24</c:v>
                </c:pt>
                <c:pt idx="2">
                  <c:v>25-49</c:v>
                </c:pt>
                <c:pt idx="3">
                  <c:v>50-64</c:v>
                </c:pt>
                <c:pt idx="4">
                  <c:v>65&lt;</c:v>
                </c:pt>
              </c:strCache>
            </c:strRef>
          </c:cat>
          <c:val>
            <c:numRef>
              <c:f>Sheet1!$C$2:$C$7</c:f>
              <c:numCache>
                <c:formatCode>General</c:formatCode>
                <c:ptCount val="6"/>
                <c:pt idx="0">
                  <c:v>420</c:v>
                </c:pt>
                <c:pt idx="1">
                  <c:v>363</c:v>
                </c:pt>
                <c:pt idx="2">
                  <c:v>1112</c:v>
                </c:pt>
                <c:pt idx="3">
                  <c:v>885</c:v>
                </c:pt>
                <c:pt idx="4">
                  <c:v>1078</c:v>
                </c:pt>
              </c:numCache>
            </c:numRef>
          </c:val>
          <c:extLst>
            <c:ext xmlns:c16="http://schemas.microsoft.com/office/drawing/2014/chart" uri="{C3380CC4-5D6E-409C-BE32-E72D297353CC}">
              <c16:uniqueId val="{00000001-2E63-463A-BC11-F061EB6D8CEA}"/>
            </c:ext>
          </c:extLst>
        </c:ser>
        <c:dLbls>
          <c:showLegendKey val="0"/>
          <c:showVal val="0"/>
          <c:showCatName val="0"/>
          <c:showSerName val="0"/>
          <c:showPercent val="0"/>
          <c:showBubbleSize val="0"/>
        </c:dLbls>
        <c:gapWidth val="182"/>
        <c:axId val="479364608"/>
        <c:axId val="479365784"/>
      </c:barChart>
      <c:catAx>
        <c:axId val="47936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9365784"/>
        <c:crosses val="autoZero"/>
        <c:auto val="1"/>
        <c:lblAlgn val="ctr"/>
        <c:lblOffset val="100"/>
        <c:noMultiLvlLbl val="0"/>
      </c:catAx>
      <c:valAx>
        <c:axId val="479365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936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Bērnu vecuma struktūra novadā</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7-18(neieskaitot) gadu vecumā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Salacgrīvas pagasts</c:v>
                </c:pt>
                <c:pt idx="1">
                  <c:v>Salacgrīva</c:v>
                </c:pt>
                <c:pt idx="2">
                  <c:v>Liepupes pagasts</c:v>
                </c:pt>
                <c:pt idx="3">
                  <c:v>Ainažu pagasts</c:v>
                </c:pt>
                <c:pt idx="4">
                  <c:v>Ainaži</c:v>
                </c:pt>
              </c:strCache>
            </c:strRef>
          </c:cat>
          <c:val>
            <c:numRef>
              <c:f>Sheet1!$B$2:$B$6</c:f>
              <c:numCache>
                <c:formatCode>General</c:formatCode>
                <c:ptCount val="5"/>
                <c:pt idx="0">
                  <c:v>207</c:v>
                </c:pt>
                <c:pt idx="1">
                  <c:v>264</c:v>
                </c:pt>
                <c:pt idx="2">
                  <c:v>148</c:v>
                </c:pt>
                <c:pt idx="3">
                  <c:v>65</c:v>
                </c:pt>
                <c:pt idx="4">
                  <c:v>70</c:v>
                </c:pt>
              </c:numCache>
            </c:numRef>
          </c:val>
          <c:extLst>
            <c:ext xmlns:c16="http://schemas.microsoft.com/office/drawing/2014/chart" uri="{C3380CC4-5D6E-409C-BE32-E72D297353CC}">
              <c16:uniqueId val="{00000000-3233-4B58-82AC-830E9562D742}"/>
            </c:ext>
          </c:extLst>
        </c:ser>
        <c:ser>
          <c:idx val="1"/>
          <c:order val="1"/>
          <c:tx>
            <c:strRef>
              <c:f>Sheet1!$C$1</c:f>
              <c:strCache>
                <c:ptCount val="1"/>
                <c:pt idx="0">
                  <c:v>0-6 gadu vecumā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Salacgrīvas pagasts</c:v>
                </c:pt>
                <c:pt idx="1">
                  <c:v>Salacgrīva</c:v>
                </c:pt>
                <c:pt idx="2">
                  <c:v>Liepupes pagasts</c:v>
                </c:pt>
                <c:pt idx="3">
                  <c:v>Ainažu pagasts</c:v>
                </c:pt>
                <c:pt idx="4">
                  <c:v>Ainaži</c:v>
                </c:pt>
              </c:strCache>
            </c:strRef>
          </c:cat>
          <c:val>
            <c:numRef>
              <c:f>Sheet1!$C$2:$C$6</c:f>
              <c:numCache>
                <c:formatCode>General</c:formatCode>
                <c:ptCount val="5"/>
                <c:pt idx="0">
                  <c:v>113</c:v>
                </c:pt>
                <c:pt idx="1">
                  <c:v>136</c:v>
                </c:pt>
                <c:pt idx="2">
                  <c:v>79</c:v>
                </c:pt>
                <c:pt idx="3">
                  <c:v>23</c:v>
                </c:pt>
                <c:pt idx="4">
                  <c:v>34</c:v>
                </c:pt>
              </c:numCache>
            </c:numRef>
          </c:val>
          <c:extLst>
            <c:ext xmlns:c16="http://schemas.microsoft.com/office/drawing/2014/chart" uri="{C3380CC4-5D6E-409C-BE32-E72D297353CC}">
              <c16:uniqueId val="{00000001-3233-4B58-82AC-830E9562D742}"/>
            </c:ext>
          </c:extLst>
        </c:ser>
        <c:dLbls>
          <c:dLblPos val="outEnd"/>
          <c:showLegendKey val="0"/>
          <c:showVal val="1"/>
          <c:showCatName val="0"/>
          <c:showSerName val="0"/>
          <c:showPercent val="0"/>
          <c:showBubbleSize val="0"/>
        </c:dLbls>
        <c:gapWidth val="182"/>
        <c:axId val="479366176"/>
        <c:axId val="479368920"/>
      </c:barChart>
      <c:catAx>
        <c:axId val="47936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9368920"/>
        <c:crosses val="autoZero"/>
        <c:auto val="1"/>
        <c:lblAlgn val="ctr"/>
        <c:lblOffset val="100"/>
        <c:noMultiLvlLbl val="0"/>
      </c:catAx>
      <c:valAx>
        <c:axId val="479368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936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05057A-C81A-4DA7-831D-8F27E485F6A0}"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en-US"/>
        </a:p>
      </dgm:t>
    </dgm:pt>
    <dgm:pt modelId="{0FD2DB73-74B0-433E-9FF3-F5675841209A}">
      <dgm:prSet phldrT="[Text]"/>
      <dgm:spPr>
        <a:xfrm>
          <a:off x="2171" y="567"/>
          <a:ext cx="5463006"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Kopbudžeta izdevumi </a:t>
          </a:r>
          <a:endParaRPr lang="en-US" dirty="0">
            <a:solidFill>
              <a:sysClr val="windowText" lastClr="000000"/>
            </a:solidFill>
            <a:latin typeface="Calibri"/>
            <a:ea typeface="+mn-ea"/>
            <a:cs typeface="+mn-cs"/>
          </a:endParaRPr>
        </a:p>
      </dgm:t>
    </dgm:pt>
    <dgm:pt modelId="{5E3A24B4-D6D8-4A27-8A9E-A70C3B44D1A0}" type="parTrans" cxnId="{D9AC864C-1F05-4055-BB5C-4E75388F406E}">
      <dgm:prSet/>
      <dgm:spPr/>
      <dgm:t>
        <a:bodyPr/>
        <a:lstStyle/>
        <a:p>
          <a:endParaRPr lang="en-US"/>
        </a:p>
      </dgm:t>
    </dgm:pt>
    <dgm:pt modelId="{484ABD24-E031-45D4-9498-494C1844D4A3}" type="sibTrans" cxnId="{D9AC864C-1F05-4055-BB5C-4E75388F406E}">
      <dgm:prSet/>
      <dgm:spPr/>
      <dgm:t>
        <a:bodyPr/>
        <a:lstStyle/>
        <a:p>
          <a:endParaRPr lang="en-US"/>
        </a:p>
      </dgm:t>
    </dgm:pt>
    <dgm:pt modelId="{6FBB791E-AAA4-4ECB-9A27-6C1C0E594F35}">
      <dgm:prSet phldrT="[Text]" custT="1"/>
      <dgm:spPr>
        <a:xfrm>
          <a:off x="2171" y="698962"/>
          <a:ext cx="4644046"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sz="1800" dirty="0">
              <a:solidFill>
                <a:sysClr val="windowText" lastClr="000000"/>
              </a:solidFill>
              <a:latin typeface="Calibri"/>
              <a:ea typeface="+mn-ea"/>
              <a:cs typeface="+mn-cs"/>
            </a:rPr>
            <a:t>Pamatbudžets </a:t>
          </a:r>
          <a:endParaRPr lang="en-US" sz="1800" dirty="0">
            <a:solidFill>
              <a:sysClr val="windowText" lastClr="000000"/>
            </a:solidFill>
            <a:latin typeface="Calibri"/>
            <a:ea typeface="+mn-ea"/>
            <a:cs typeface="+mn-cs"/>
          </a:endParaRPr>
        </a:p>
      </dgm:t>
    </dgm:pt>
    <dgm:pt modelId="{0BDC82EB-B902-4394-8681-FC51C1398CD7}" type="parTrans" cxnId="{0D257FF6-2D79-4AA8-A338-D1449FECCA79}">
      <dgm:prSet/>
      <dgm:spPr/>
      <dgm:t>
        <a:bodyPr/>
        <a:lstStyle/>
        <a:p>
          <a:endParaRPr lang="en-US"/>
        </a:p>
      </dgm:t>
    </dgm:pt>
    <dgm:pt modelId="{4217EC5C-E742-488F-8F76-E0F00D086B89}" type="sibTrans" cxnId="{0D257FF6-2D79-4AA8-A338-D1449FECCA79}">
      <dgm:prSet/>
      <dgm:spPr/>
      <dgm:t>
        <a:bodyPr/>
        <a:lstStyle/>
        <a:p>
          <a:endParaRPr lang="en-US"/>
        </a:p>
      </dgm:t>
    </dgm:pt>
    <dgm:pt modelId="{EC7C0330-6AF5-4273-BE10-334036B8ECD2}">
      <dgm:prSet phldrT="[Text]"/>
      <dgm:spPr>
        <a:xfrm>
          <a:off x="2171" y="2095750"/>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Bāze izdevumi </a:t>
          </a:r>
          <a:endParaRPr lang="en-US" dirty="0">
            <a:solidFill>
              <a:sysClr val="windowText" lastClr="000000"/>
            </a:solidFill>
            <a:latin typeface="Calibri"/>
            <a:ea typeface="+mn-ea"/>
            <a:cs typeface="+mn-cs"/>
          </a:endParaRPr>
        </a:p>
      </dgm:t>
    </dgm:pt>
    <dgm:pt modelId="{0C05E8CE-45F7-4FBE-96CF-DAD6290DA40B}" type="parTrans" cxnId="{10E901B0-E4CD-40F8-935A-2B1968A48B95}">
      <dgm:prSet/>
      <dgm:spPr/>
      <dgm:t>
        <a:bodyPr/>
        <a:lstStyle/>
        <a:p>
          <a:endParaRPr lang="en-US"/>
        </a:p>
      </dgm:t>
    </dgm:pt>
    <dgm:pt modelId="{60E21E0F-EF71-4CB2-ABA5-ACB87DC99999}" type="sibTrans" cxnId="{10E901B0-E4CD-40F8-935A-2B1968A48B95}">
      <dgm:prSet/>
      <dgm:spPr/>
      <dgm:t>
        <a:bodyPr/>
        <a:lstStyle/>
        <a:p>
          <a:endParaRPr lang="en-US"/>
        </a:p>
      </dgm:t>
    </dgm:pt>
    <dgm:pt modelId="{BFE224DE-CD54-495A-8127-B81CF4102414}">
      <dgm:prSet phldrT="[Text]"/>
      <dgm:spPr>
        <a:xfrm>
          <a:off x="773535" y="2095750"/>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VB finansējums noteiktiem mērķiem </a:t>
          </a:r>
          <a:endParaRPr lang="en-US" dirty="0">
            <a:solidFill>
              <a:sysClr val="windowText" lastClr="000000"/>
            </a:solidFill>
            <a:latin typeface="Calibri"/>
            <a:ea typeface="+mn-ea"/>
            <a:cs typeface="+mn-cs"/>
          </a:endParaRPr>
        </a:p>
      </dgm:t>
    </dgm:pt>
    <dgm:pt modelId="{6438E68F-DD76-4FC2-BC29-A3F889C726D1}" type="parTrans" cxnId="{8A197803-7A86-43C8-ADFB-468CCF1BE737}">
      <dgm:prSet/>
      <dgm:spPr/>
      <dgm:t>
        <a:bodyPr/>
        <a:lstStyle/>
        <a:p>
          <a:endParaRPr lang="en-US"/>
        </a:p>
      </dgm:t>
    </dgm:pt>
    <dgm:pt modelId="{5F3C5870-26B1-47A2-8D2F-B3062D6E4220}" type="sibTrans" cxnId="{8A197803-7A86-43C8-ADFB-468CCF1BE737}">
      <dgm:prSet/>
      <dgm:spPr/>
      <dgm:t>
        <a:bodyPr/>
        <a:lstStyle/>
        <a:p>
          <a:endParaRPr lang="en-US"/>
        </a:p>
      </dgm:t>
    </dgm:pt>
    <dgm:pt modelId="{B66164F3-8491-436B-A504-8CD426719ACB}">
      <dgm:prSet phldrT="[Text]" custT="1"/>
      <dgm:spPr>
        <a:xfrm>
          <a:off x="4709680" y="698962"/>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sz="1200" dirty="0">
              <a:solidFill>
                <a:sysClr val="windowText" lastClr="000000"/>
              </a:solidFill>
              <a:latin typeface="Calibri"/>
              <a:ea typeface="+mn-ea"/>
              <a:cs typeface="+mn-cs"/>
            </a:rPr>
            <a:t>Speciālais budžets</a:t>
          </a:r>
        </a:p>
        <a:p>
          <a:pPr>
            <a:buNone/>
          </a:pPr>
          <a:endParaRPr lang="en-US" sz="1000" dirty="0">
            <a:solidFill>
              <a:sysClr val="windowText" lastClr="000000"/>
            </a:solidFill>
            <a:latin typeface="Calibri"/>
            <a:ea typeface="+mn-ea"/>
            <a:cs typeface="+mn-cs"/>
          </a:endParaRPr>
        </a:p>
      </dgm:t>
    </dgm:pt>
    <dgm:pt modelId="{8286C456-5926-48A5-A2A0-2DC9EB6A74DF}" type="parTrans" cxnId="{01587149-CCAA-4294-B6D0-D0FDF092AFEC}">
      <dgm:prSet/>
      <dgm:spPr/>
      <dgm:t>
        <a:bodyPr/>
        <a:lstStyle/>
        <a:p>
          <a:endParaRPr lang="en-US"/>
        </a:p>
      </dgm:t>
    </dgm:pt>
    <dgm:pt modelId="{19AF6F5C-E810-4D85-8FBC-F2F17C3CD199}" type="sibTrans" cxnId="{01587149-CCAA-4294-B6D0-D0FDF092AFEC}">
      <dgm:prSet/>
      <dgm:spPr/>
      <dgm:t>
        <a:bodyPr/>
        <a:lstStyle/>
        <a:p>
          <a:endParaRPr lang="en-US"/>
        </a:p>
      </dgm:t>
    </dgm:pt>
    <dgm:pt modelId="{9A683FFB-0C26-4751-AFB7-00681A4EBF78}">
      <dgm:prSet phldrT="[Text]"/>
      <dgm:spPr>
        <a:xfrm>
          <a:off x="1560764" y="1397356"/>
          <a:ext cx="1526861"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Ārpus bāze </a:t>
          </a:r>
          <a:endParaRPr lang="en-US" dirty="0">
            <a:solidFill>
              <a:sysClr val="windowText" lastClr="000000"/>
            </a:solidFill>
            <a:latin typeface="Calibri"/>
            <a:ea typeface="+mn-ea"/>
            <a:cs typeface="+mn-cs"/>
          </a:endParaRPr>
        </a:p>
      </dgm:t>
    </dgm:pt>
    <dgm:pt modelId="{A92F8FF5-C8DF-49CC-A304-0825C3EA0D64}" type="parTrans" cxnId="{A46DCEE5-B17A-4636-9DF7-6AD1D7DE3556}">
      <dgm:prSet/>
      <dgm:spPr/>
      <dgm:t>
        <a:bodyPr/>
        <a:lstStyle/>
        <a:p>
          <a:endParaRPr lang="en-US"/>
        </a:p>
      </dgm:t>
    </dgm:pt>
    <dgm:pt modelId="{1BCF3D72-1AE8-4FDD-9446-CEB74D810CE1}" type="sibTrans" cxnId="{A46DCEE5-B17A-4636-9DF7-6AD1D7DE3556}">
      <dgm:prSet/>
      <dgm:spPr/>
      <dgm:t>
        <a:bodyPr/>
        <a:lstStyle/>
        <a:p>
          <a:endParaRPr lang="en-US"/>
        </a:p>
      </dgm:t>
    </dgm:pt>
    <dgm:pt modelId="{2E63454D-B84B-434C-AC13-D1E142CFAB9C}">
      <dgm:prSet phldrT="[Text]"/>
      <dgm:spPr>
        <a:xfrm>
          <a:off x="3119356" y="1397356"/>
          <a:ext cx="1526861"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Prioritārie pasākumi </a:t>
          </a:r>
          <a:endParaRPr lang="en-US" dirty="0">
            <a:solidFill>
              <a:sysClr val="windowText" lastClr="000000"/>
            </a:solidFill>
            <a:latin typeface="Calibri"/>
            <a:ea typeface="+mn-ea"/>
            <a:cs typeface="+mn-cs"/>
          </a:endParaRPr>
        </a:p>
      </dgm:t>
    </dgm:pt>
    <dgm:pt modelId="{5CC350FD-F26E-4EE5-A617-9296292BAF8B}" type="parTrans" cxnId="{6D93B767-507E-46D7-BF8C-81C4F6871695}">
      <dgm:prSet/>
      <dgm:spPr/>
      <dgm:t>
        <a:bodyPr/>
        <a:lstStyle/>
        <a:p>
          <a:endParaRPr lang="en-US"/>
        </a:p>
      </dgm:t>
    </dgm:pt>
    <dgm:pt modelId="{BA16E0C7-F7D5-4A94-AB42-F9D7A8FD50E9}" type="sibTrans" cxnId="{6D93B767-507E-46D7-BF8C-81C4F6871695}">
      <dgm:prSet/>
      <dgm:spPr/>
      <dgm:t>
        <a:bodyPr/>
        <a:lstStyle/>
        <a:p>
          <a:endParaRPr lang="en-US"/>
        </a:p>
      </dgm:t>
    </dgm:pt>
    <dgm:pt modelId="{ED43B38A-EC11-4C25-A47F-12EC83EBAB4D}">
      <dgm:prSet phldrT="[Text]"/>
      <dgm:spPr>
        <a:xfrm>
          <a:off x="1560764" y="2095750"/>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Pasākumu organizēšanai </a:t>
          </a:r>
          <a:endParaRPr lang="en-US" dirty="0">
            <a:solidFill>
              <a:sysClr val="windowText" lastClr="000000"/>
            </a:solidFill>
            <a:latin typeface="Calibri"/>
            <a:ea typeface="+mn-ea"/>
            <a:cs typeface="+mn-cs"/>
          </a:endParaRPr>
        </a:p>
      </dgm:t>
    </dgm:pt>
    <dgm:pt modelId="{26FCE625-DC4D-472B-B3AA-2ED74BFB9B43}" type="parTrans" cxnId="{71E4AE38-34CD-49EF-8240-891AB6BA2BAB}">
      <dgm:prSet/>
      <dgm:spPr/>
      <dgm:t>
        <a:bodyPr/>
        <a:lstStyle/>
        <a:p>
          <a:endParaRPr lang="en-US"/>
        </a:p>
      </dgm:t>
    </dgm:pt>
    <dgm:pt modelId="{826350AE-E594-46C2-9755-8A67F22C0753}" type="sibTrans" cxnId="{71E4AE38-34CD-49EF-8240-891AB6BA2BAB}">
      <dgm:prSet/>
      <dgm:spPr/>
      <dgm:t>
        <a:bodyPr/>
        <a:lstStyle/>
        <a:p>
          <a:endParaRPr lang="en-US"/>
        </a:p>
      </dgm:t>
    </dgm:pt>
    <dgm:pt modelId="{AF31BF30-5819-4597-8854-7F746F98314B}">
      <dgm:prSet phldrT="[Text]"/>
      <dgm:spPr>
        <a:xfrm>
          <a:off x="2332127" y="2095750"/>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Ārpus bāzes izdevumi </a:t>
          </a:r>
          <a:endParaRPr lang="en-US" dirty="0">
            <a:solidFill>
              <a:sysClr val="windowText" lastClr="000000"/>
            </a:solidFill>
            <a:latin typeface="Calibri"/>
            <a:ea typeface="+mn-ea"/>
            <a:cs typeface="+mn-cs"/>
          </a:endParaRPr>
        </a:p>
      </dgm:t>
    </dgm:pt>
    <dgm:pt modelId="{AE678E67-0CC1-42A1-89A6-E0AA6C771C04}" type="parTrans" cxnId="{C51DACB7-6303-4862-A629-AE05875C551B}">
      <dgm:prSet/>
      <dgm:spPr/>
      <dgm:t>
        <a:bodyPr/>
        <a:lstStyle/>
        <a:p>
          <a:endParaRPr lang="en-US"/>
        </a:p>
      </dgm:t>
    </dgm:pt>
    <dgm:pt modelId="{92796B08-0170-47F2-AB52-224590FBD3A2}" type="sibTrans" cxnId="{C51DACB7-6303-4862-A629-AE05875C551B}">
      <dgm:prSet/>
      <dgm:spPr/>
      <dgm:t>
        <a:bodyPr/>
        <a:lstStyle/>
        <a:p>
          <a:endParaRPr lang="en-US"/>
        </a:p>
      </dgm:t>
    </dgm:pt>
    <dgm:pt modelId="{D3C9D4B7-AE02-492A-B4A9-D6F7D62ADD18}">
      <dgm:prSet phldrT="[Text]"/>
      <dgm:spPr>
        <a:xfrm>
          <a:off x="2171" y="1397356"/>
          <a:ext cx="1526861"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Bāzes izdevumi</a:t>
          </a:r>
          <a:endParaRPr lang="en-US" dirty="0">
            <a:solidFill>
              <a:sysClr val="windowText" lastClr="000000"/>
            </a:solidFill>
            <a:latin typeface="Calibri"/>
            <a:ea typeface="+mn-ea"/>
            <a:cs typeface="+mn-cs"/>
          </a:endParaRPr>
        </a:p>
      </dgm:t>
    </dgm:pt>
    <dgm:pt modelId="{34FA7BBC-F41A-4D05-B206-B23E525F364B}" type="parTrans" cxnId="{D1D9F7E8-C0D5-4F8C-AB15-A42E44FB6919}">
      <dgm:prSet/>
      <dgm:spPr/>
      <dgm:t>
        <a:bodyPr/>
        <a:lstStyle/>
        <a:p>
          <a:endParaRPr lang="lv-LV"/>
        </a:p>
      </dgm:t>
    </dgm:pt>
    <dgm:pt modelId="{AFE9083B-4EB7-4D2B-9D1B-58DEB4BFC66F}" type="sibTrans" cxnId="{D1D9F7E8-C0D5-4F8C-AB15-A42E44FB6919}">
      <dgm:prSet/>
      <dgm:spPr/>
      <dgm:t>
        <a:bodyPr/>
        <a:lstStyle/>
        <a:p>
          <a:endParaRPr lang="lv-LV"/>
        </a:p>
      </dgm:t>
    </dgm:pt>
    <dgm:pt modelId="{BBF541AC-2711-4AFB-88E9-6896547F82E6}">
      <dgm:prSet phldrT="[Text]"/>
      <dgm:spPr>
        <a:xfrm>
          <a:off x="3890720" y="2095750"/>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Pašu finansēti projekti, pasākumi</a:t>
          </a:r>
          <a:endParaRPr lang="en-US" dirty="0">
            <a:solidFill>
              <a:sysClr val="windowText" lastClr="000000"/>
            </a:solidFill>
            <a:latin typeface="Calibri"/>
            <a:ea typeface="+mn-ea"/>
            <a:cs typeface="+mn-cs"/>
          </a:endParaRPr>
        </a:p>
      </dgm:t>
    </dgm:pt>
    <dgm:pt modelId="{2DF6DEF6-E5AA-47CA-B9BA-4F65C727FF8E}" type="parTrans" cxnId="{91838C68-0334-47D6-8863-057008741FEB}">
      <dgm:prSet/>
      <dgm:spPr/>
      <dgm:t>
        <a:bodyPr/>
        <a:lstStyle/>
        <a:p>
          <a:endParaRPr lang="lv-LV"/>
        </a:p>
      </dgm:t>
    </dgm:pt>
    <dgm:pt modelId="{6E8059E5-819A-4756-A1B0-30CF26573D5F}" type="sibTrans" cxnId="{91838C68-0334-47D6-8863-057008741FEB}">
      <dgm:prSet/>
      <dgm:spPr/>
      <dgm:t>
        <a:bodyPr/>
        <a:lstStyle/>
        <a:p>
          <a:endParaRPr lang="lv-LV"/>
        </a:p>
      </dgm:t>
    </dgm:pt>
    <dgm:pt modelId="{9EB60965-01F6-41F2-8F5D-58E9A7A4F6BA}">
      <dgm:prSet phldrT="[Text]"/>
      <dgm:spPr>
        <a:xfrm>
          <a:off x="3119356" y="2095750"/>
          <a:ext cx="755498" cy="62783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lv-LV" dirty="0">
              <a:solidFill>
                <a:sysClr val="windowText" lastClr="000000"/>
              </a:solidFill>
              <a:latin typeface="Calibri"/>
              <a:ea typeface="+mn-ea"/>
              <a:cs typeface="+mn-cs"/>
            </a:rPr>
            <a:t>Fondu finansēti projekti</a:t>
          </a:r>
          <a:endParaRPr lang="en-US" dirty="0">
            <a:solidFill>
              <a:sysClr val="windowText" lastClr="000000"/>
            </a:solidFill>
            <a:latin typeface="Calibri"/>
            <a:ea typeface="+mn-ea"/>
            <a:cs typeface="+mn-cs"/>
          </a:endParaRPr>
        </a:p>
      </dgm:t>
    </dgm:pt>
    <dgm:pt modelId="{2F8F4E7B-DD92-44A4-910C-3362B7636FE9}" type="parTrans" cxnId="{B1790638-54EC-48E8-B81B-8A4855574313}">
      <dgm:prSet/>
      <dgm:spPr/>
      <dgm:t>
        <a:bodyPr/>
        <a:lstStyle/>
        <a:p>
          <a:endParaRPr lang="lv-LV"/>
        </a:p>
      </dgm:t>
    </dgm:pt>
    <dgm:pt modelId="{A51710F9-5016-4975-9AF2-88DFA43FCA8D}" type="sibTrans" cxnId="{B1790638-54EC-48E8-B81B-8A4855574313}">
      <dgm:prSet/>
      <dgm:spPr/>
      <dgm:t>
        <a:bodyPr/>
        <a:lstStyle/>
        <a:p>
          <a:endParaRPr lang="lv-LV"/>
        </a:p>
      </dgm:t>
    </dgm:pt>
    <dgm:pt modelId="{F30C61BD-743E-43AF-9D76-B2E7FC25C6A0}" type="pres">
      <dgm:prSet presAssocID="{5705057A-C81A-4DA7-831D-8F27E485F6A0}" presName="Name0" presStyleCnt="0">
        <dgm:presLayoutVars>
          <dgm:chPref val="1"/>
          <dgm:dir/>
          <dgm:animOne val="branch"/>
          <dgm:animLvl val="lvl"/>
          <dgm:resizeHandles/>
        </dgm:presLayoutVars>
      </dgm:prSet>
      <dgm:spPr/>
    </dgm:pt>
    <dgm:pt modelId="{08208EA0-CAEC-4BE1-9AB1-A2CC2AFBD680}" type="pres">
      <dgm:prSet presAssocID="{0FD2DB73-74B0-433E-9FF3-F5675841209A}" presName="vertOne" presStyleCnt="0"/>
      <dgm:spPr/>
    </dgm:pt>
    <dgm:pt modelId="{91445F2A-B665-4725-B503-647AC6BC26B2}" type="pres">
      <dgm:prSet presAssocID="{0FD2DB73-74B0-433E-9FF3-F5675841209A}" presName="txOne" presStyleLbl="node0" presStyleIdx="0" presStyleCnt="1">
        <dgm:presLayoutVars>
          <dgm:chPref val="3"/>
        </dgm:presLayoutVars>
      </dgm:prSet>
      <dgm:spPr/>
    </dgm:pt>
    <dgm:pt modelId="{BE27144A-DC00-42BF-B2DB-FC25D816E5EE}" type="pres">
      <dgm:prSet presAssocID="{0FD2DB73-74B0-433E-9FF3-F5675841209A}" presName="parTransOne" presStyleCnt="0"/>
      <dgm:spPr/>
    </dgm:pt>
    <dgm:pt modelId="{337415FC-83C8-4745-B5E5-5B034267003B}" type="pres">
      <dgm:prSet presAssocID="{0FD2DB73-74B0-433E-9FF3-F5675841209A}" presName="horzOne" presStyleCnt="0"/>
      <dgm:spPr/>
    </dgm:pt>
    <dgm:pt modelId="{67EEDD20-DEFD-4854-843C-AD0BB04D3F55}" type="pres">
      <dgm:prSet presAssocID="{6FBB791E-AAA4-4ECB-9A27-6C1C0E594F35}" presName="vertTwo" presStyleCnt="0"/>
      <dgm:spPr/>
    </dgm:pt>
    <dgm:pt modelId="{662CDA24-ED38-4B53-B7ED-7272A995AC58}" type="pres">
      <dgm:prSet presAssocID="{6FBB791E-AAA4-4ECB-9A27-6C1C0E594F35}" presName="txTwo" presStyleLbl="node2" presStyleIdx="0" presStyleCnt="2">
        <dgm:presLayoutVars>
          <dgm:chPref val="3"/>
        </dgm:presLayoutVars>
      </dgm:prSet>
      <dgm:spPr/>
    </dgm:pt>
    <dgm:pt modelId="{9EFD1225-6E29-4BCD-B829-77FAB84F73AE}" type="pres">
      <dgm:prSet presAssocID="{6FBB791E-AAA4-4ECB-9A27-6C1C0E594F35}" presName="parTransTwo" presStyleCnt="0"/>
      <dgm:spPr/>
    </dgm:pt>
    <dgm:pt modelId="{BCAF28B2-0068-432C-AF8E-4092F5A150CD}" type="pres">
      <dgm:prSet presAssocID="{6FBB791E-AAA4-4ECB-9A27-6C1C0E594F35}" presName="horzTwo" presStyleCnt="0"/>
      <dgm:spPr/>
    </dgm:pt>
    <dgm:pt modelId="{7BDDF1DA-BBD9-4502-91F4-746C978CE704}" type="pres">
      <dgm:prSet presAssocID="{D3C9D4B7-AE02-492A-B4A9-D6F7D62ADD18}" presName="vertThree" presStyleCnt="0"/>
      <dgm:spPr/>
    </dgm:pt>
    <dgm:pt modelId="{7F875876-F2CC-4AF1-B907-F0184A03B177}" type="pres">
      <dgm:prSet presAssocID="{D3C9D4B7-AE02-492A-B4A9-D6F7D62ADD18}" presName="txThree" presStyleLbl="node3" presStyleIdx="0" presStyleCnt="3">
        <dgm:presLayoutVars>
          <dgm:chPref val="3"/>
        </dgm:presLayoutVars>
      </dgm:prSet>
      <dgm:spPr/>
    </dgm:pt>
    <dgm:pt modelId="{4B54ABE2-D07E-4565-8977-B1122A70198C}" type="pres">
      <dgm:prSet presAssocID="{D3C9D4B7-AE02-492A-B4A9-D6F7D62ADD18}" presName="parTransThree" presStyleCnt="0"/>
      <dgm:spPr/>
    </dgm:pt>
    <dgm:pt modelId="{B03B9B60-FC4A-4BAC-9603-22BE1E40A4E6}" type="pres">
      <dgm:prSet presAssocID="{D3C9D4B7-AE02-492A-B4A9-D6F7D62ADD18}" presName="horzThree" presStyleCnt="0"/>
      <dgm:spPr/>
    </dgm:pt>
    <dgm:pt modelId="{B4101B64-3BB5-4CD8-94E4-4A9950340981}" type="pres">
      <dgm:prSet presAssocID="{EC7C0330-6AF5-4273-BE10-334036B8ECD2}" presName="vertFour" presStyleCnt="0">
        <dgm:presLayoutVars>
          <dgm:chPref val="3"/>
        </dgm:presLayoutVars>
      </dgm:prSet>
      <dgm:spPr/>
    </dgm:pt>
    <dgm:pt modelId="{5BAF4463-E8A7-496E-A979-ED6AED3E08C6}" type="pres">
      <dgm:prSet presAssocID="{EC7C0330-6AF5-4273-BE10-334036B8ECD2}" presName="txFour" presStyleLbl="node4" presStyleIdx="0" presStyleCnt="6">
        <dgm:presLayoutVars>
          <dgm:chPref val="3"/>
        </dgm:presLayoutVars>
      </dgm:prSet>
      <dgm:spPr/>
    </dgm:pt>
    <dgm:pt modelId="{832DC199-81CD-495E-AB60-A123D6E2A443}" type="pres">
      <dgm:prSet presAssocID="{EC7C0330-6AF5-4273-BE10-334036B8ECD2}" presName="horzFour" presStyleCnt="0"/>
      <dgm:spPr/>
    </dgm:pt>
    <dgm:pt modelId="{968A8CA5-1AEB-40CD-8050-C3978D76DD48}" type="pres">
      <dgm:prSet presAssocID="{60E21E0F-EF71-4CB2-ABA5-ACB87DC99999}" presName="sibSpaceFour" presStyleCnt="0"/>
      <dgm:spPr/>
    </dgm:pt>
    <dgm:pt modelId="{CF18D41F-C702-4057-AA2B-5F02000B7558}" type="pres">
      <dgm:prSet presAssocID="{BFE224DE-CD54-495A-8127-B81CF4102414}" presName="vertFour" presStyleCnt="0">
        <dgm:presLayoutVars>
          <dgm:chPref val="3"/>
        </dgm:presLayoutVars>
      </dgm:prSet>
      <dgm:spPr/>
    </dgm:pt>
    <dgm:pt modelId="{6772254D-4B86-4395-9055-4E20EA7BAB6A}" type="pres">
      <dgm:prSet presAssocID="{BFE224DE-CD54-495A-8127-B81CF4102414}" presName="txFour" presStyleLbl="node4" presStyleIdx="1" presStyleCnt="6">
        <dgm:presLayoutVars>
          <dgm:chPref val="3"/>
        </dgm:presLayoutVars>
      </dgm:prSet>
      <dgm:spPr/>
    </dgm:pt>
    <dgm:pt modelId="{AF01D538-D464-42D3-A257-4B4E52D0CBD8}" type="pres">
      <dgm:prSet presAssocID="{BFE224DE-CD54-495A-8127-B81CF4102414}" presName="horzFour" presStyleCnt="0"/>
      <dgm:spPr/>
    </dgm:pt>
    <dgm:pt modelId="{BD770214-9706-414C-9C75-93FD8C095F5F}" type="pres">
      <dgm:prSet presAssocID="{AFE9083B-4EB7-4D2B-9D1B-58DEB4BFC66F}" presName="sibSpaceThree" presStyleCnt="0"/>
      <dgm:spPr/>
    </dgm:pt>
    <dgm:pt modelId="{1DF553FF-E0C2-47AF-B30D-A25C1810F0DD}" type="pres">
      <dgm:prSet presAssocID="{9A683FFB-0C26-4751-AFB7-00681A4EBF78}" presName="vertThree" presStyleCnt="0"/>
      <dgm:spPr/>
    </dgm:pt>
    <dgm:pt modelId="{8B28BBA1-2E3B-4263-A456-466B5847DACA}" type="pres">
      <dgm:prSet presAssocID="{9A683FFB-0C26-4751-AFB7-00681A4EBF78}" presName="txThree" presStyleLbl="node3" presStyleIdx="1" presStyleCnt="3">
        <dgm:presLayoutVars>
          <dgm:chPref val="3"/>
        </dgm:presLayoutVars>
      </dgm:prSet>
      <dgm:spPr/>
    </dgm:pt>
    <dgm:pt modelId="{7993A1B6-7891-4749-8B43-D57E9CEE6D90}" type="pres">
      <dgm:prSet presAssocID="{9A683FFB-0C26-4751-AFB7-00681A4EBF78}" presName="parTransThree" presStyleCnt="0"/>
      <dgm:spPr/>
    </dgm:pt>
    <dgm:pt modelId="{37A64E62-EB36-4DEA-B2BB-E0AC1693E093}" type="pres">
      <dgm:prSet presAssocID="{9A683FFB-0C26-4751-AFB7-00681A4EBF78}" presName="horzThree" presStyleCnt="0"/>
      <dgm:spPr/>
    </dgm:pt>
    <dgm:pt modelId="{04C99E6E-E77F-461C-9BE5-71DE9807F4EC}" type="pres">
      <dgm:prSet presAssocID="{ED43B38A-EC11-4C25-A47F-12EC83EBAB4D}" presName="vertFour" presStyleCnt="0">
        <dgm:presLayoutVars>
          <dgm:chPref val="3"/>
        </dgm:presLayoutVars>
      </dgm:prSet>
      <dgm:spPr/>
    </dgm:pt>
    <dgm:pt modelId="{A9F0DB31-C2EC-4E5F-B47E-A5B31538638F}" type="pres">
      <dgm:prSet presAssocID="{ED43B38A-EC11-4C25-A47F-12EC83EBAB4D}" presName="txFour" presStyleLbl="node4" presStyleIdx="2" presStyleCnt="6">
        <dgm:presLayoutVars>
          <dgm:chPref val="3"/>
        </dgm:presLayoutVars>
      </dgm:prSet>
      <dgm:spPr/>
    </dgm:pt>
    <dgm:pt modelId="{74F0D08A-B90C-4581-AAB6-FD476CA9DF71}" type="pres">
      <dgm:prSet presAssocID="{ED43B38A-EC11-4C25-A47F-12EC83EBAB4D}" presName="horzFour" presStyleCnt="0"/>
      <dgm:spPr/>
    </dgm:pt>
    <dgm:pt modelId="{136E6B41-74A8-4FD4-B6E6-52A18101B063}" type="pres">
      <dgm:prSet presAssocID="{826350AE-E594-46C2-9755-8A67F22C0753}" presName="sibSpaceFour" presStyleCnt="0"/>
      <dgm:spPr/>
    </dgm:pt>
    <dgm:pt modelId="{50C462F5-60B6-4435-A1D0-A02430CA3813}" type="pres">
      <dgm:prSet presAssocID="{AF31BF30-5819-4597-8854-7F746F98314B}" presName="vertFour" presStyleCnt="0">
        <dgm:presLayoutVars>
          <dgm:chPref val="3"/>
        </dgm:presLayoutVars>
      </dgm:prSet>
      <dgm:spPr/>
    </dgm:pt>
    <dgm:pt modelId="{A3678D73-CE2B-49C5-B841-D0743D2A14AD}" type="pres">
      <dgm:prSet presAssocID="{AF31BF30-5819-4597-8854-7F746F98314B}" presName="txFour" presStyleLbl="node4" presStyleIdx="3" presStyleCnt="6">
        <dgm:presLayoutVars>
          <dgm:chPref val="3"/>
        </dgm:presLayoutVars>
      </dgm:prSet>
      <dgm:spPr/>
    </dgm:pt>
    <dgm:pt modelId="{5C454AFA-1931-4BF1-A6AB-2B6D40E93556}" type="pres">
      <dgm:prSet presAssocID="{AF31BF30-5819-4597-8854-7F746F98314B}" presName="horzFour" presStyleCnt="0"/>
      <dgm:spPr/>
    </dgm:pt>
    <dgm:pt modelId="{EBCB8535-4A23-4020-9749-DD7DCB0F1B84}" type="pres">
      <dgm:prSet presAssocID="{1BCF3D72-1AE8-4FDD-9446-CEB74D810CE1}" presName="sibSpaceThree" presStyleCnt="0"/>
      <dgm:spPr/>
    </dgm:pt>
    <dgm:pt modelId="{54ED993A-EE53-441C-B670-90A7813FAAAF}" type="pres">
      <dgm:prSet presAssocID="{2E63454D-B84B-434C-AC13-D1E142CFAB9C}" presName="vertThree" presStyleCnt="0"/>
      <dgm:spPr/>
    </dgm:pt>
    <dgm:pt modelId="{0DDF095B-974A-4436-A09F-9EBE0CD70A1D}" type="pres">
      <dgm:prSet presAssocID="{2E63454D-B84B-434C-AC13-D1E142CFAB9C}" presName="txThree" presStyleLbl="node3" presStyleIdx="2" presStyleCnt="3">
        <dgm:presLayoutVars>
          <dgm:chPref val="3"/>
        </dgm:presLayoutVars>
      </dgm:prSet>
      <dgm:spPr/>
    </dgm:pt>
    <dgm:pt modelId="{3F81501A-0CE0-48BD-8B0E-861A9E629A84}" type="pres">
      <dgm:prSet presAssocID="{2E63454D-B84B-434C-AC13-D1E142CFAB9C}" presName="parTransThree" presStyleCnt="0"/>
      <dgm:spPr/>
    </dgm:pt>
    <dgm:pt modelId="{3DA83E27-77AC-4DDE-88EB-B7B29DE2BD74}" type="pres">
      <dgm:prSet presAssocID="{2E63454D-B84B-434C-AC13-D1E142CFAB9C}" presName="horzThree" presStyleCnt="0"/>
      <dgm:spPr/>
    </dgm:pt>
    <dgm:pt modelId="{FA931E26-ADA9-4386-87CB-FA3F4535C455}" type="pres">
      <dgm:prSet presAssocID="{9EB60965-01F6-41F2-8F5D-58E9A7A4F6BA}" presName="vertFour" presStyleCnt="0">
        <dgm:presLayoutVars>
          <dgm:chPref val="3"/>
        </dgm:presLayoutVars>
      </dgm:prSet>
      <dgm:spPr/>
    </dgm:pt>
    <dgm:pt modelId="{40E4BE7B-7696-4577-B6B0-1335C52038B3}" type="pres">
      <dgm:prSet presAssocID="{9EB60965-01F6-41F2-8F5D-58E9A7A4F6BA}" presName="txFour" presStyleLbl="node4" presStyleIdx="4" presStyleCnt="6">
        <dgm:presLayoutVars>
          <dgm:chPref val="3"/>
        </dgm:presLayoutVars>
      </dgm:prSet>
      <dgm:spPr/>
    </dgm:pt>
    <dgm:pt modelId="{279846E9-E699-4403-9B31-77F3BA2FF686}" type="pres">
      <dgm:prSet presAssocID="{9EB60965-01F6-41F2-8F5D-58E9A7A4F6BA}" presName="horzFour" presStyleCnt="0"/>
      <dgm:spPr/>
    </dgm:pt>
    <dgm:pt modelId="{6184827D-4A67-4DB8-B3B3-27EDD98E72A4}" type="pres">
      <dgm:prSet presAssocID="{A51710F9-5016-4975-9AF2-88DFA43FCA8D}" presName="sibSpaceFour" presStyleCnt="0"/>
      <dgm:spPr/>
    </dgm:pt>
    <dgm:pt modelId="{DFE393F6-B0AA-4277-BCB2-CEC1216D7305}" type="pres">
      <dgm:prSet presAssocID="{BBF541AC-2711-4AFB-88E9-6896547F82E6}" presName="vertFour" presStyleCnt="0">
        <dgm:presLayoutVars>
          <dgm:chPref val="3"/>
        </dgm:presLayoutVars>
      </dgm:prSet>
      <dgm:spPr/>
    </dgm:pt>
    <dgm:pt modelId="{C67A2CC3-CBFA-4E80-985E-B7DD3F8DB653}" type="pres">
      <dgm:prSet presAssocID="{BBF541AC-2711-4AFB-88E9-6896547F82E6}" presName="txFour" presStyleLbl="node4" presStyleIdx="5" presStyleCnt="6">
        <dgm:presLayoutVars>
          <dgm:chPref val="3"/>
        </dgm:presLayoutVars>
      </dgm:prSet>
      <dgm:spPr/>
    </dgm:pt>
    <dgm:pt modelId="{CB08A81F-059F-4B01-B30E-0E5C9D61B385}" type="pres">
      <dgm:prSet presAssocID="{BBF541AC-2711-4AFB-88E9-6896547F82E6}" presName="horzFour" presStyleCnt="0"/>
      <dgm:spPr/>
    </dgm:pt>
    <dgm:pt modelId="{99BE551C-2D03-4483-977D-6A1CEF4268ED}" type="pres">
      <dgm:prSet presAssocID="{4217EC5C-E742-488F-8F76-E0F00D086B89}" presName="sibSpaceTwo" presStyleCnt="0"/>
      <dgm:spPr/>
    </dgm:pt>
    <dgm:pt modelId="{8569B3E5-95C9-47E8-9A42-DA9FD45841FF}" type="pres">
      <dgm:prSet presAssocID="{B66164F3-8491-436B-A504-8CD426719ACB}" presName="vertTwo" presStyleCnt="0"/>
      <dgm:spPr/>
    </dgm:pt>
    <dgm:pt modelId="{10E12DEC-BB41-4A7C-AB55-15E288E3E349}" type="pres">
      <dgm:prSet presAssocID="{B66164F3-8491-436B-A504-8CD426719ACB}" presName="txTwo" presStyleLbl="node2" presStyleIdx="1" presStyleCnt="2">
        <dgm:presLayoutVars>
          <dgm:chPref val="3"/>
        </dgm:presLayoutVars>
      </dgm:prSet>
      <dgm:spPr/>
    </dgm:pt>
    <dgm:pt modelId="{F5BA58C5-8DB2-4998-81FA-A554E2DB29D3}" type="pres">
      <dgm:prSet presAssocID="{B66164F3-8491-436B-A504-8CD426719ACB}" presName="horzTwo" presStyleCnt="0"/>
      <dgm:spPr/>
    </dgm:pt>
  </dgm:ptLst>
  <dgm:cxnLst>
    <dgm:cxn modelId="{8A197803-7A86-43C8-ADFB-468CCF1BE737}" srcId="{D3C9D4B7-AE02-492A-B4A9-D6F7D62ADD18}" destId="{BFE224DE-CD54-495A-8127-B81CF4102414}" srcOrd="1" destOrd="0" parTransId="{6438E68F-DD76-4FC2-BC29-A3F889C726D1}" sibTransId="{5F3C5870-26B1-47A2-8D2F-B3062D6E4220}"/>
    <dgm:cxn modelId="{34C78405-B63C-404B-A97A-4B673C68AAD7}" type="presOf" srcId="{BFE224DE-CD54-495A-8127-B81CF4102414}" destId="{6772254D-4B86-4395-9055-4E20EA7BAB6A}" srcOrd="0" destOrd="0" presId="urn:microsoft.com/office/officeart/2005/8/layout/hierarchy4"/>
    <dgm:cxn modelId="{D2CB210E-58C9-4F92-A77E-E13A7D4B48C1}" type="presOf" srcId="{B66164F3-8491-436B-A504-8CD426719ACB}" destId="{10E12DEC-BB41-4A7C-AB55-15E288E3E349}" srcOrd="0" destOrd="0" presId="urn:microsoft.com/office/officeart/2005/8/layout/hierarchy4"/>
    <dgm:cxn modelId="{B1790638-54EC-48E8-B81B-8A4855574313}" srcId="{2E63454D-B84B-434C-AC13-D1E142CFAB9C}" destId="{9EB60965-01F6-41F2-8F5D-58E9A7A4F6BA}" srcOrd="0" destOrd="0" parTransId="{2F8F4E7B-DD92-44A4-910C-3362B7636FE9}" sibTransId="{A51710F9-5016-4975-9AF2-88DFA43FCA8D}"/>
    <dgm:cxn modelId="{71E4AE38-34CD-49EF-8240-891AB6BA2BAB}" srcId="{9A683FFB-0C26-4751-AFB7-00681A4EBF78}" destId="{ED43B38A-EC11-4C25-A47F-12EC83EBAB4D}" srcOrd="0" destOrd="0" parTransId="{26FCE625-DC4D-472B-B3AA-2ED74BFB9B43}" sibTransId="{826350AE-E594-46C2-9755-8A67F22C0753}"/>
    <dgm:cxn modelId="{A5147C3E-B892-4686-ABA1-3BD169E8A46D}" type="presOf" srcId="{D3C9D4B7-AE02-492A-B4A9-D6F7D62ADD18}" destId="{7F875876-F2CC-4AF1-B907-F0184A03B177}" srcOrd="0" destOrd="0" presId="urn:microsoft.com/office/officeart/2005/8/layout/hierarchy4"/>
    <dgm:cxn modelId="{90228562-34D5-41AA-975A-D2C6E3E117DE}" type="presOf" srcId="{AF31BF30-5819-4597-8854-7F746F98314B}" destId="{A3678D73-CE2B-49C5-B841-D0743D2A14AD}" srcOrd="0" destOrd="0" presId="urn:microsoft.com/office/officeart/2005/8/layout/hierarchy4"/>
    <dgm:cxn modelId="{6D93B767-507E-46D7-BF8C-81C4F6871695}" srcId="{6FBB791E-AAA4-4ECB-9A27-6C1C0E594F35}" destId="{2E63454D-B84B-434C-AC13-D1E142CFAB9C}" srcOrd="2" destOrd="0" parTransId="{5CC350FD-F26E-4EE5-A617-9296292BAF8B}" sibTransId="{BA16E0C7-F7D5-4A94-AB42-F9D7A8FD50E9}"/>
    <dgm:cxn modelId="{91838C68-0334-47D6-8863-057008741FEB}" srcId="{2E63454D-B84B-434C-AC13-D1E142CFAB9C}" destId="{BBF541AC-2711-4AFB-88E9-6896547F82E6}" srcOrd="1" destOrd="0" parTransId="{2DF6DEF6-E5AA-47CA-B9BA-4F65C727FF8E}" sibTransId="{6E8059E5-819A-4756-A1B0-30CF26573D5F}"/>
    <dgm:cxn modelId="{01587149-CCAA-4294-B6D0-D0FDF092AFEC}" srcId="{0FD2DB73-74B0-433E-9FF3-F5675841209A}" destId="{B66164F3-8491-436B-A504-8CD426719ACB}" srcOrd="1" destOrd="0" parTransId="{8286C456-5926-48A5-A2A0-2DC9EB6A74DF}" sibTransId="{19AF6F5C-E810-4D85-8FBC-F2F17C3CD199}"/>
    <dgm:cxn modelId="{D9AC864C-1F05-4055-BB5C-4E75388F406E}" srcId="{5705057A-C81A-4DA7-831D-8F27E485F6A0}" destId="{0FD2DB73-74B0-433E-9FF3-F5675841209A}" srcOrd="0" destOrd="0" parTransId="{5E3A24B4-D6D8-4A27-8A9E-A70C3B44D1A0}" sibTransId="{484ABD24-E031-45D4-9498-494C1844D4A3}"/>
    <dgm:cxn modelId="{F146614D-FB63-4D77-B46E-5EB28900FEC9}" type="presOf" srcId="{BBF541AC-2711-4AFB-88E9-6896547F82E6}" destId="{C67A2CC3-CBFA-4E80-985E-B7DD3F8DB653}" srcOrd="0" destOrd="0" presId="urn:microsoft.com/office/officeart/2005/8/layout/hierarchy4"/>
    <dgm:cxn modelId="{0886998F-B723-4590-BE19-711B35386B21}" type="presOf" srcId="{ED43B38A-EC11-4C25-A47F-12EC83EBAB4D}" destId="{A9F0DB31-C2EC-4E5F-B47E-A5B31538638F}" srcOrd="0" destOrd="0" presId="urn:microsoft.com/office/officeart/2005/8/layout/hierarchy4"/>
    <dgm:cxn modelId="{91ABF494-A767-4AB7-97BE-B96EC6E4474D}" type="presOf" srcId="{2E63454D-B84B-434C-AC13-D1E142CFAB9C}" destId="{0DDF095B-974A-4436-A09F-9EBE0CD70A1D}" srcOrd="0" destOrd="0" presId="urn:microsoft.com/office/officeart/2005/8/layout/hierarchy4"/>
    <dgm:cxn modelId="{8794099C-0777-4886-A640-B3E9B5B463A0}" type="presOf" srcId="{EC7C0330-6AF5-4273-BE10-334036B8ECD2}" destId="{5BAF4463-E8A7-496E-A979-ED6AED3E08C6}" srcOrd="0" destOrd="0" presId="urn:microsoft.com/office/officeart/2005/8/layout/hierarchy4"/>
    <dgm:cxn modelId="{DE08319C-3BB1-433A-8D20-8C06A7D708AF}" type="presOf" srcId="{6FBB791E-AAA4-4ECB-9A27-6C1C0E594F35}" destId="{662CDA24-ED38-4B53-B7ED-7272A995AC58}" srcOrd="0" destOrd="0" presId="urn:microsoft.com/office/officeart/2005/8/layout/hierarchy4"/>
    <dgm:cxn modelId="{47576BA1-6345-4C39-ABD0-0163BF75EBE3}" type="presOf" srcId="{9EB60965-01F6-41F2-8F5D-58E9A7A4F6BA}" destId="{40E4BE7B-7696-4577-B6B0-1335C52038B3}" srcOrd="0" destOrd="0" presId="urn:microsoft.com/office/officeart/2005/8/layout/hierarchy4"/>
    <dgm:cxn modelId="{9286A2A1-A2BF-4C2D-953D-F216F5340DC5}" type="presOf" srcId="{0FD2DB73-74B0-433E-9FF3-F5675841209A}" destId="{91445F2A-B665-4725-B503-647AC6BC26B2}" srcOrd="0" destOrd="0" presId="urn:microsoft.com/office/officeart/2005/8/layout/hierarchy4"/>
    <dgm:cxn modelId="{15AD22A3-9290-47A5-BFB6-CA9A41CF85D2}" type="presOf" srcId="{5705057A-C81A-4DA7-831D-8F27E485F6A0}" destId="{F30C61BD-743E-43AF-9D76-B2E7FC25C6A0}" srcOrd="0" destOrd="0" presId="urn:microsoft.com/office/officeart/2005/8/layout/hierarchy4"/>
    <dgm:cxn modelId="{10E901B0-E4CD-40F8-935A-2B1968A48B95}" srcId="{D3C9D4B7-AE02-492A-B4A9-D6F7D62ADD18}" destId="{EC7C0330-6AF5-4273-BE10-334036B8ECD2}" srcOrd="0" destOrd="0" parTransId="{0C05E8CE-45F7-4FBE-96CF-DAD6290DA40B}" sibTransId="{60E21E0F-EF71-4CB2-ABA5-ACB87DC99999}"/>
    <dgm:cxn modelId="{C51DACB7-6303-4862-A629-AE05875C551B}" srcId="{9A683FFB-0C26-4751-AFB7-00681A4EBF78}" destId="{AF31BF30-5819-4597-8854-7F746F98314B}" srcOrd="1" destOrd="0" parTransId="{AE678E67-0CC1-42A1-89A6-E0AA6C771C04}" sibTransId="{92796B08-0170-47F2-AB52-224590FBD3A2}"/>
    <dgm:cxn modelId="{673A71BC-FFB0-4A01-ADAE-5A3024F80E77}" type="presOf" srcId="{9A683FFB-0C26-4751-AFB7-00681A4EBF78}" destId="{8B28BBA1-2E3B-4263-A456-466B5847DACA}" srcOrd="0" destOrd="0" presId="urn:microsoft.com/office/officeart/2005/8/layout/hierarchy4"/>
    <dgm:cxn modelId="{A46DCEE5-B17A-4636-9DF7-6AD1D7DE3556}" srcId="{6FBB791E-AAA4-4ECB-9A27-6C1C0E594F35}" destId="{9A683FFB-0C26-4751-AFB7-00681A4EBF78}" srcOrd="1" destOrd="0" parTransId="{A92F8FF5-C8DF-49CC-A304-0825C3EA0D64}" sibTransId="{1BCF3D72-1AE8-4FDD-9446-CEB74D810CE1}"/>
    <dgm:cxn modelId="{D1D9F7E8-C0D5-4F8C-AB15-A42E44FB6919}" srcId="{6FBB791E-AAA4-4ECB-9A27-6C1C0E594F35}" destId="{D3C9D4B7-AE02-492A-B4A9-D6F7D62ADD18}" srcOrd="0" destOrd="0" parTransId="{34FA7BBC-F41A-4D05-B206-B23E525F364B}" sibTransId="{AFE9083B-4EB7-4D2B-9D1B-58DEB4BFC66F}"/>
    <dgm:cxn modelId="{0D257FF6-2D79-4AA8-A338-D1449FECCA79}" srcId="{0FD2DB73-74B0-433E-9FF3-F5675841209A}" destId="{6FBB791E-AAA4-4ECB-9A27-6C1C0E594F35}" srcOrd="0" destOrd="0" parTransId="{0BDC82EB-B902-4394-8681-FC51C1398CD7}" sibTransId="{4217EC5C-E742-488F-8F76-E0F00D086B89}"/>
    <dgm:cxn modelId="{3DC5FFB9-4EAE-438C-B558-883D994CB1CC}" type="presParOf" srcId="{F30C61BD-743E-43AF-9D76-B2E7FC25C6A0}" destId="{08208EA0-CAEC-4BE1-9AB1-A2CC2AFBD680}" srcOrd="0" destOrd="0" presId="urn:microsoft.com/office/officeart/2005/8/layout/hierarchy4"/>
    <dgm:cxn modelId="{6CC4C541-CC5D-4014-8642-4ABA06191858}" type="presParOf" srcId="{08208EA0-CAEC-4BE1-9AB1-A2CC2AFBD680}" destId="{91445F2A-B665-4725-B503-647AC6BC26B2}" srcOrd="0" destOrd="0" presId="urn:microsoft.com/office/officeart/2005/8/layout/hierarchy4"/>
    <dgm:cxn modelId="{EF216BF2-0AD3-4D71-B9D3-4B1F2287E2B1}" type="presParOf" srcId="{08208EA0-CAEC-4BE1-9AB1-A2CC2AFBD680}" destId="{BE27144A-DC00-42BF-B2DB-FC25D816E5EE}" srcOrd="1" destOrd="0" presId="urn:microsoft.com/office/officeart/2005/8/layout/hierarchy4"/>
    <dgm:cxn modelId="{076A8044-5B99-4442-AF7C-46FC49B55226}" type="presParOf" srcId="{08208EA0-CAEC-4BE1-9AB1-A2CC2AFBD680}" destId="{337415FC-83C8-4745-B5E5-5B034267003B}" srcOrd="2" destOrd="0" presId="urn:microsoft.com/office/officeart/2005/8/layout/hierarchy4"/>
    <dgm:cxn modelId="{286A79D8-AD06-4FFF-B01D-176A55CC3ED2}" type="presParOf" srcId="{337415FC-83C8-4745-B5E5-5B034267003B}" destId="{67EEDD20-DEFD-4854-843C-AD0BB04D3F55}" srcOrd="0" destOrd="0" presId="urn:microsoft.com/office/officeart/2005/8/layout/hierarchy4"/>
    <dgm:cxn modelId="{302D9768-32D4-4D2F-9254-2D2B7B5CCCE3}" type="presParOf" srcId="{67EEDD20-DEFD-4854-843C-AD0BB04D3F55}" destId="{662CDA24-ED38-4B53-B7ED-7272A995AC58}" srcOrd="0" destOrd="0" presId="urn:microsoft.com/office/officeart/2005/8/layout/hierarchy4"/>
    <dgm:cxn modelId="{9D70D86D-CBDF-4A54-BC08-287BD2C3F634}" type="presParOf" srcId="{67EEDD20-DEFD-4854-843C-AD0BB04D3F55}" destId="{9EFD1225-6E29-4BCD-B829-77FAB84F73AE}" srcOrd="1" destOrd="0" presId="urn:microsoft.com/office/officeart/2005/8/layout/hierarchy4"/>
    <dgm:cxn modelId="{E624B614-EA79-4074-B7C2-D19EAE9716CC}" type="presParOf" srcId="{67EEDD20-DEFD-4854-843C-AD0BB04D3F55}" destId="{BCAF28B2-0068-432C-AF8E-4092F5A150CD}" srcOrd="2" destOrd="0" presId="urn:microsoft.com/office/officeart/2005/8/layout/hierarchy4"/>
    <dgm:cxn modelId="{ADEB3110-03E9-4DAC-BF84-BAEB2FFB4076}" type="presParOf" srcId="{BCAF28B2-0068-432C-AF8E-4092F5A150CD}" destId="{7BDDF1DA-BBD9-4502-91F4-746C978CE704}" srcOrd="0" destOrd="0" presId="urn:microsoft.com/office/officeart/2005/8/layout/hierarchy4"/>
    <dgm:cxn modelId="{D65261AF-CE29-47F4-AEE9-8317EB5E849D}" type="presParOf" srcId="{7BDDF1DA-BBD9-4502-91F4-746C978CE704}" destId="{7F875876-F2CC-4AF1-B907-F0184A03B177}" srcOrd="0" destOrd="0" presId="urn:microsoft.com/office/officeart/2005/8/layout/hierarchy4"/>
    <dgm:cxn modelId="{6C1800B5-B30D-4E0E-A24E-1E0D2A481BDC}" type="presParOf" srcId="{7BDDF1DA-BBD9-4502-91F4-746C978CE704}" destId="{4B54ABE2-D07E-4565-8977-B1122A70198C}" srcOrd="1" destOrd="0" presId="urn:microsoft.com/office/officeart/2005/8/layout/hierarchy4"/>
    <dgm:cxn modelId="{09834D26-B5EC-4AA6-9E99-82B00E3ED545}" type="presParOf" srcId="{7BDDF1DA-BBD9-4502-91F4-746C978CE704}" destId="{B03B9B60-FC4A-4BAC-9603-22BE1E40A4E6}" srcOrd="2" destOrd="0" presId="urn:microsoft.com/office/officeart/2005/8/layout/hierarchy4"/>
    <dgm:cxn modelId="{43E3955D-7749-4363-A951-C66D5C905FA8}" type="presParOf" srcId="{B03B9B60-FC4A-4BAC-9603-22BE1E40A4E6}" destId="{B4101B64-3BB5-4CD8-94E4-4A9950340981}" srcOrd="0" destOrd="0" presId="urn:microsoft.com/office/officeart/2005/8/layout/hierarchy4"/>
    <dgm:cxn modelId="{A39AD4BF-E110-4C24-9E54-0801ACEFC31B}" type="presParOf" srcId="{B4101B64-3BB5-4CD8-94E4-4A9950340981}" destId="{5BAF4463-E8A7-496E-A979-ED6AED3E08C6}" srcOrd="0" destOrd="0" presId="urn:microsoft.com/office/officeart/2005/8/layout/hierarchy4"/>
    <dgm:cxn modelId="{287C1902-3E80-4F75-93EF-A70D54B406AE}" type="presParOf" srcId="{B4101B64-3BB5-4CD8-94E4-4A9950340981}" destId="{832DC199-81CD-495E-AB60-A123D6E2A443}" srcOrd="1" destOrd="0" presId="urn:microsoft.com/office/officeart/2005/8/layout/hierarchy4"/>
    <dgm:cxn modelId="{66D7E565-BA72-4345-B8FC-69633A3A0A63}" type="presParOf" srcId="{B03B9B60-FC4A-4BAC-9603-22BE1E40A4E6}" destId="{968A8CA5-1AEB-40CD-8050-C3978D76DD48}" srcOrd="1" destOrd="0" presId="urn:microsoft.com/office/officeart/2005/8/layout/hierarchy4"/>
    <dgm:cxn modelId="{0B971DAB-6936-4BCC-91CF-03D50FBB0A13}" type="presParOf" srcId="{B03B9B60-FC4A-4BAC-9603-22BE1E40A4E6}" destId="{CF18D41F-C702-4057-AA2B-5F02000B7558}" srcOrd="2" destOrd="0" presId="urn:microsoft.com/office/officeart/2005/8/layout/hierarchy4"/>
    <dgm:cxn modelId="{7845DBE5-1272-4714-AE40-8380CEDCE19E}" type="presParOf" srcId="{CF18D41F-C702-4057-AA2B-5F02000B7558}" destId="{6772254D-4B86-4395-9055-4E20EA7BAB6A}" srcOrd="0" destOrd="0" presId="urn:microsoft.com/office/officeart/2005/8/layout/hierarchy4"/>
    <dgm:cxn modelId="{0B96EA13-7785-4D8C-B3F3-BF2A5D31605B}" type="presParOf" srcId="{CF18D41F-C702-4057-AA2B-5F02000B7558}" destId="{AF01D538-D464-42D3-A257-4B4E52D0CBD8}" srcOrd="1" destOrd="0" presId="urn:microsoft.com/office/officeart/2005/8/layout/hierarchy4"/>
    <dgm:cxn modelId="{4E4314D0-04A9-452B-9746-A2E1CF31C253}" type="presParOf" srcId="{BCAF28B2-0068-432C-AF8E-4092F5A150CD}" destId="{BD770214-9706-414C-9C75-93FD8C095F5F}" srcOrd="1" destOrd="0" presId="urn:microsoft.com/office/officeart/2005/8/layout/hierarchy4"/>
    <dgm:cxn modelId="{D40BD6C1-45E1-4A42-A2CC-41F72D6943E7}" type="presParOf" srcId="{BCAF28B2-0068-432C-AF8E-4092F5A150CD}" destId="{1DF553FF-E0C2-47AF-B30D-A25C1810F0DD}" srcOrd="2" destOrd="0" presId="urn:microsoft.com/office/officeart/2005/8/layout/hierarchy4"/>
    <dgm:cxn modelId="{DCBDDA91-F92E-4C7C-9C64-467FE1B5C373}" type="presParOf" srcId="{1DF553FF-E0C2-47AF-B30D-A25C1810F0DD}" destId="{8B28BBA1-2E3B-4263-A456-466B5847DACA}" srcOrd="0" destOrd="0" presId="urn:microsoft.com/office/officeart/2005/8/layout/hierarchy4"/>
    <dgm:cxn modelId="{AB4AC6F0-19C7-4F4E-876B-E7AB82F7D04D}" type="presParOf" srcId="{1DF553FF-E0C2-47AF-B30D-A25C1810F0DD}" destId="{7993A1B6-7891-4749-8B43-D57E9CEE6D90}" srcOrd="1" destOrd="0" presId="urn:microsoft.com/office/officeart/2005/8/layout/hierarchy4"/>
    <dgm:cxn modelId="{FC837647-B749-4ACE-A7C2-E2D30D5154B2}" type="presParOf" srcId="{1DF553FF-E0C2-47AF-B30D-A25C1810F0DD}" destId="{37A64E62-EB36-4DEA-B2BB-E0AC1693E093}" srcOrd="2" destOrd="0" presId="urn:microsoft.com/office/officeart/2005/8/layout/hierarchy4"/>
    <dgm:cxn modelId="{40A175C5-55A0-4B48-ACCE-2F15AAF5064C}" type="presParOf" srcId="{37A64E62-EB36-4DEA-B2BB-E0AC1693E093}" destId="{04C99E6E-E77F-461C-9BE5-71DE9807F4EC}" srcOrd="0" destOrd="0" presId="urn:microsoft.com/office/officeart/2005/8/layout/hierarchy4"/>
    <dgm:cxn modelId="{A96CDA2F-8742-4580-91F5-ED8B7058CA70}" type="presParOf" srcId="{04C99E6E-E77F-461C-9BE5-71DE9807F4EC}" destId="{A9F0DB31-C2EC-4E5F-B47E-A5B31538638F}" srcOrd="0" destOrd="0" presId="urn:microsoft.com/office/officeart/2005/8/layout/hierarchy4"/>
    <dgm:cxn modelId="{7721B0CF-9DE2-49DD-AE4D-738C6BF5145C}" type="presParOf" srcId="{04C99E6E-E77F-461C-9BE5-71DE9807F4EC}" destId="{74F0D08A-B90C-4581-AAB6-FD476CA9DF71}" srcOrd="1" destOrd="0" presId="urn:microsoft.com/office/officeart/2005/8/layout/hierarchy4"/>
    <dgm:cxn modelId="{0ED75339-FD79-4615-A06D-EA07D737011E}" type="presParOf" srcId="{37A64E62-EB36-4DEA-B2BB-E0AC1693E093}" destId="{136E6B41-74A8-4FD4-B6E6-52A18101B063}" srcOrd="1" destOrd="0" presId="urn:microsoft.com/office/officeart/2005/8/layout/hierarchy4"/>
    <dgm:cxn modelId="{F1934B6F-2D51-4F5B-B896-084F9C4D411B}" type="presParOf" srcId="{37A64E62-EB36-4DEA-B2BB-E0AC1693E093}" destId="{50C462F5-60B6-4435-A1D0-A02430CA3813}" srcOrd="2" destOrd="0" presId="urn:microsoft.com/office/officeart/2005/8/layout/hierarchy4"/>
    <dgm:cxn modelId="{B4BA8BE9-3ED1-4E89-9C9F-C1C7131DC59C}" type="presParOf" srcId="{50C462F5-60B6-4435-A1D0-A02430CA3813}" destId="{A3678D73-CE2B-49C5-B841-D0743D2A14AD}" srcOrd="0" destOrd="0" presId="urn:microsoft.com/office/officeart/2005/8/layout/hierarchy4"/>
    <dgm:cxn modelId="{5A31013E-98B2-4B6B-8962-34052289AC16}" type="presParOf" srcId="{50C462F5-60B6-4435-A1D0-A02430CA3813}" destId="{5C454AFA-1931-4BF1-A6AB-2B6D40E93556}" srcOrd="1" destOrd="0" presId="urn:microsoft.com/office/officeart/2005/8/layout/hierarchy4"/>
    <dgm:cxn modelId="{D4D524D7-AE61-4576-8494-5B5CB329E8E4}" type="presParOf" srcId="{BCAF28B2-0068-432C-AF8E-4092F5A150CD}" destId="{EBCB8535-4A23-4020-9749-DD7DCB0F1B84}" srcOrd="3" destOrd="0" presId="urn:microsoft.com/office/officeart/2005/8/layout/hierarchy4"/>
    <dgm:cxn modelId="{64AB0B33-5DD8-463D-B881-21E3C78DCC30}" type="presParOf" srcId="{BCAF28B2-0068-432C-AF8E-4092F5A150CD}" destId="{54ED993A-EE53-441C-B670-90A7813FAAAF}" srcOrd="4" destOrd="0" presId="urn:microsoft.com/office/officeart/2005/8/layout/hierarchy4"/>
    <dgm:cxn modelId="{85BFE29E-7190-47E0-9167-7820A7B77467}" type="presParOf" srcId="{54ED993A-EE53-441C-B670-90A7813FAAAF}" destId="{0DDF095B-974A-4436-A09F-9EBE0CD70A1D}" srcOrd="0" destOrd="0" presId="urn:microsoft.com/office/officeart/2005/8/layout/hierarchy4"/>
    <dgm:cxn modelId="{0E651A2B-78DC-4FA6-825E-DC465FE58FD6}" type="presParOf" srcId="{54ED993A-EE53-441C-B670-90A7813FAAAF}" destId="{3F81501A-0CE0-48BD-8B0E-861A9E629A84}" srcOrd="1" destOrd="0" presId="urn:microsoft.com/office/officeart/2005/8/layout/hierarchy4"/>
    <dgm:cxn modelId="{18B8A8F8-0EE2-44A9-BB3E-A43826D19BF6}" type="presParOf" srcId="{54ED993A-EE53-441C-B670-90A7813FAAAF}" destId="{3DA83E27-77AC-4DDE-88EB-B7B29DE2BD74}" srcOrd="2" destOrd="0" presId="urn:microsoft.com/office/officeart/2005/8/layout/hierarchy4"/>
    <dgm:cxn modelId="{4B66801E-A2B0-4900-95A9-A6FB5815E43D}" type="presParOf" srcId="{3DA83E27-77AC-4DDE-88EB-B7B29DE2BD74}" destId="{FA931E26-ADA9-4386-87CB-FA3F4535C455}" srcOrd="0" destOrd="0" presId="urn:microsoft.com/office/officeart/2005/8/layout/hierarchy4"/>
    <dgm:cxn modelId="{B7E96E8E-7143-4FD0-A687-D15D2302A016}" type="presParOf" srcId="{FA931E26-ADA9-4386-87CB-FA3F4535C455}" destId="{40E4BE7B-7696-4577-B6B0-1335C52038B3}" srcOrd="0" destOrd="0" presId="urn:microsoft.com/office/officeart/2005/8/layout/hierarchy4"/>
    <dgm:cxn modelId="{3FBF8C4A-251E-472C-A36B-937B9F058A6F}" type="presParOf" srcId="{FA931E26-ADA9-4386-87CB-FA3F4535C455}" destId="{279846E9-E699-4403-9B31-77F3BA2FF686}" srcOrd="1" destOrd="0" presId="urn:microsoft.com/office/officeart/2005/8/layout/hierarchy4"/>
    <dgm:cxn modelId="{43C48D7E-BEE0-49F3-BEA4-AE1804368967}" type="presParOf" srcId="{3DA83E27-77AC-4DDE-88EB-B7B29DE2BD74}" destId="{6184827D-4A67-4DB8-B3B3-27EDD98E72A4}" srcOrd="1" destOrd="0" presId="urn:microsoft.com/office/officeart/2005/8/layout/hierarchy4"/>
    <dgm:cxn modelId="{652D885C-9E6E-43D5-B219-86F8BF6A7CEC}" type="presParOf" srcId="{3DA83E27-77AC-4DDE-88EB-B7B29DE2BD74}" destId="{DFE393F6-B0AA-4277-BCB2-CEC1216D7305}" srcOrd="2" destOrd="0" presId="urn:microsoft.com/office/officeart/2005/8/layout/hierarchy4"/>
    <dgm:cxn modelId="{CF55CE36-ABFD-4507-A446-C7544C76BF60}" type="presParOf" srcId="{DFE393F6-B0AA-4277-BCB2-CEC1216D7305}" destId="{C67A2CC3-CBFA-4E80-985E-B7DD3F8DB653}" srcOrd="0" destOrd="0" presId="urn:microsoft.com/office/officeart/2005/8/layout/hierarchy4"/>
    <dgm:cxn modelId="{0CCD0AC1-258A-454F-809C-5558778EFD0C}" type="presParOf" srcId="{DFE393F6-B0AA-4277-BCB2-CEC1216D7305}" destId="{CB08A81F-059F-4B01-B30E-0E5C9D61B385}" srcOrd="1" destOrd="0" presId="urn:microsoft.com/office/officeart/2005/8/layout/hierarchy4"/>
    <dgm:cxn modelId="{85505795-B5FE-4EED-A5D4-15454E9D7984}" type="presParOf" srcId="{337415FC-83C8-4745-B5E5-5B034267003B}" destId="{99BE551C-2D03-4483-977D-6A1CEF4268ED}" srcOrd="1" destOrd="0" presId="urn:microsoft.com/office/officeart/2005/8/layout/hierarchy4"/>
    <dgm:cxn modelId="{7B78DABD-FD19-4CFA-A513-B790EB069131}" type="presParOf" srcId="{337415FC-83C8-4745-B5E5-5B034267003B}" destId="{8569B3E5-95C9-47E8-9A42-DA9FD45841FF}" srcOrd="2" destOrd="0" presId="urn:microsoft.com/office/officeart/2005/8/layout/hierarchy4"/>
    <dgm:cxn modelId="{06FA2356-0A78-4F3B-A934-5F25ACA55C36}" type="presParOf" srcId="{8569B3E5-95C9-47E8-9A42-DA9FD45841FF}" destId="{10E12DEC-BB41-4A7C-AB55-15E288E3E349}" srcOrd="0" destOrd="0" presId="urn:microsoft.com/office/officeart/2005/8/layout/hierarchy4"/>
    <dgm:cxn modelId="{D4664DE7-A759-4B39-89D9-33341E28C588}" type="presParOf" srcId="{8569B3E5-95C9-47E8-9A42-DA9FD45841FF}" destId="{F5BA58C5-8DB2-4998-81FA-A554E2DB29D3}"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45F2A-B665-4725-B503-647AC6BC26B2}">
      <dsp:nvSpPr>
        <dsp:cNvPr id="0" name=""/>
        <dsp:cNvSpPr/>
      </dsp:nvSpPr>
      <dsp:spPr>
        <a:xfrm>
          <a:off x="2172" y="493"/>
          <a:ext cx="5465544"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lv-LV" sz="2700" kern="1200" dirty="0">
              <a:solidFill>
                <a:sysClr val="windowText" lastClr="000000"/>
              </a:solidFill>
              <a:latin typeface="Calibri"/>
              <a:ea typeface="+mn-ea"/>
              <a:cs typeface="+mn-cs"/>
            </a:rPr>
            <a:t>Kopbudžeta izdevumi </a:t>
          </a:r>
          <a:endParaRPr lang="en-US" sz="2700" kern="1200" dirty="0">
            <a:solidFill>
              <a:sysClr val="windowText" lastClr="000000"/>
            </a:solidFill>
            <a:latin typeface="Calibri"/>
            <a:ea typeface="+mn-ea"/>
            <a:cs typeface="+mn-cs"/>
          </a:endParaRPr>
        </a:p>
      </dsp:txBody>
      <dsp:txXfrm>
        <a:off x="20556" y="18877"/>
        <a:ext cx="5428776" cy="590917"/>
      </dsp:txXfrm>
    </dsp:sp>
    <dsp:sp modelId="{662CDA24-ED38-4B53-B7ED-7272A995AC58}">
      <dsp:nvSpPr>
        <dsp:cNvPr id="0" name=""/>
        <dsp:cNvSpPr/>
      </dsp:nvSpPr>
      <dsp:spPr>
        <a:xfrm>
          <a:off x="2172" y="698774"/>
          <a:ext cx="4646204"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lv-LV" sz="1800" kern="1200" dirty="0">
              <a:solidFill>
                <a:sysClr val="windowText" lastClr="000000"/>
              </a:solidFill>
              <a:latin typeface="Calibri"/>
              <a:ea typeface="+mn-ea"/>
              <a:cs typeface="+mn-cs"/>
            </a:rPr>
            <a:t>Pamatbudžets </a:t>
          </a:r>
          <a:endParaRPr lang="en-US" sz="1800" kern="1200" dirty="0">
            <a:solidFill>
              <a:sysClr val="windowText" lastClr="000000"/>
            </a:solidFill>
            <a:latin typeface="Calibri"/>
            <a:ea typeface="+mn-ea"/>
            <a:cs typeface="+mn-cs"/>
          </a:endParaRPr>
        </a:p>
      </dsp:txBody>
      <dsp:txXfrm>
        <a:off x="20556" y="717158"/>
        <a:ext cx="4609436" cy="590917"/>
      </dsp:txXfrm>
    </dsp:sp>
    <dsp:sp modelId="{7F875876-F2CC-4AF1-B907-F0184A03B177}">
      <dsp:nvSpPr>
        <dsp:cNvPr id="0" name=""/>
        <dsp:cNvSpPr/>
      </dsp:nvSpPr>
      <dsp:spPr>
        <a:xfrm>
          <a:off x="2172" y="1397055"/>
          <a:ext cx="1527570"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v-LV" sz="1600" kern="1200" dirty="0">
              <a:solidFill>
                <a:sysClr val="windowText" lastClr="000000"/>
              </a:solidFill>
              <a:latin typeface="Calibri"/>
              <a:ea typeface="+mn-ea"/>
              <a:cs typeface="+mn-cs"/>
            </a:rPr>
            <a:t>Bāzes izdevumi</a:t>
          </a:r>
          <a:endParaRPr lang="en-US" sz="1600" kern="1200" dirty="0">
            <a:solidFill>
              <a:sysClr val="windowText" lastClr="000000"/>
            </a:solidFill>
            <a:latin typeface="Calibri"/>
            <a:ea typeface="+mn-ea"/>
            <a:cs typeface="+mn-cs"/>
          </a:endParaRPr>
        </a:p>
      </dsp:txBody>
      <dsp:txXfrm>
        <a:off x="20556" y="1415439"/>
        <a:ext cx="1490802" cy="590917"/>
      </dsp:txXfrm>
    </dsp:sp>
    <dsp:sp modelId="{5BAF4463-E8A7-496E-A979-ED6AED3E08C6}">
      <dsp:nvSpPr>
        <dsp:cNvPr id="0" name=""/>
        <dsp:cNvSpPr/>
      </dsp:nvSpPr>
      <dsp:spPr>
        <a:xfrm>
          <a:off x="2172" y="2095336"/>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dirty="0">
              <a:solidFill>
                <a:sysClr val="windowText" lastClr="000000"/>
              </a:solidFill>
              <a:latin typeface="Calibri"/>
              <a:ea typeface="+mn-ea"/>
              <a:cs typeface="+mn-cs"/>
            </a:rPr>
            <a:t>Bāze izdevumi </a:t>
          </a:r>
          <a:endParaRPr lang="en-US" sz="900" kern="1200" dirty="0">
            <a:solidFill>
              <a:sysClr val="windowText" lastClr="000000"/>
            </a:solidFill>
            <a:latin typeface="Calibri"/>
            <a:ea typeface="+mn-ea"/>
            <a:cs typeface="+mn-cs"/>
          </a:endParaRPr>
        </a:p>
      </dsp:txBody>
      <dsp:txXfrm>
        <a:off x="20556" y="2113720"/>
        <a:ext cx="719081" cy="590917"/>
      </dsp:txXfrm>
    </dsp:sp>
    <dsp:sp modelId="{6772254D-4B86-4395-9055-4E20EA7BAB6A}">
      <dsp:nvSpPr>
        <dsp:cNvPr id="0" name=""/>
        <dsp:cNvSpPr/>
      </dsp:nvSpPr>
      <dsp:spPr>
        <a:xfrm>
          <a:off x="773894" y="2095336"/>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dirty="0">
              <a:solidFill>
                <a:sysClr val="windowText" lastClr="000000"/>
              </a:solidFill>
              <a:latin typeface="Calibri"/>
              <a:ea typeface="+mn-ea"/>
              <a:cs typeface="+mn-cs"/>
            </a:rPr>
            <a:t>VB finansējums noteiktiem mērķiem </a:t>
          </a:r>
          <a:endParaRPr lang="en-US" sz="900" kern="1200" dirty="0">
            <a:solidFill>
              <a:sysClr val="windowText" lastClr="000000"/>
            </a:solidFill>
            <a:latin typeface="Calibri"/>
            <a:ea typeface="+mn-ea"/>
            <a:cs typeface="+mn-cs"/>
          </a:endParaRPr>
        </a:p>
      </dsp:txBody>
      <dsp:txXfrm>
        <a:off x="792278" y="2113720"/>
        <a:ext cx="719081" cy="590917"/>
      </dsp:txXfrm>
    </dsp:sp>
    <dsp:sp modelId="{8B28BBA1-2E3B-4263-A456-466B5847DACA}">
      <dsp:nvSpPr>
        <dsp:cNvPr id="0" name=""/>
        <dsp:cNvSpPr/>
      </dsp:nvSpPr>
      <dsp:spPr>
        <a:xfrm>
          <a:off x="1561489" y="1397055"/>
          <a:ext cx="1527570"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v-LV" sz="1600" kern="1200" dirty="0">
              <a:solidFill>
                <a:sysClr val="windowText" lastClr="000000"/>
              </a:solidFill>
              <a:latin typeface="Calibri"/>
              <a:ea typeface="+mn-ea"/>
              <a:cs typeface="+mn-cs"/>
            </a:rPr>
            <a:t>Ārpus bāze </a:t>
          </a:r>
          <a:endParaRPr lang="en-US" sz="1600" kern="1200" dirty="0">
            <a:solidFill>
              <a:sysClr val="windowText" lastClr="000000"/>
            </a:solidFill>
            <a:latin typeface="Calibri"/>
            <a:ea typeface="+mn-ea"/>
            <a:cs typeface="+mn-cs"/>
          </a:endParaRPr>
        </a:p>
      </dsp:txBody>
      <dsp:txXfrm>
        <a:off x="1579873" y="1415439"/>
        <a:ext cx="1490802" cy="590917"/>
      </dsp:txXfrm>
    </dsp:sp>
    <dsp:sp modelId="{A9F0DB31-C2EC-4E5F-B47E-A5B31538638F}">
      <dsp:nvSpPr>
        <dsp:cNvPr id="0" name=""/>
        <dsp:cNvSpPr/>
      </dsp:nvSpPr>
      <dsp:spPr>
        <a:xfrm>
          <a:off x="1561489" y="2095336"/>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dirty="0">
              <a:solidFill>
                <a:sysClr val="windowText" lastClr="000000"/>
              </a:solidFill>
              <a:latin typeface="Calibri"/>
              <a:ea typeface="+mn-ea"/>
              <a:cs typeface="+mn-cs"/>
            </a:rPr>
            <a:t>Pasākumu organizēšanai </a:t>
          </a:r>
          <a:endParaRPr lang="en-US" sz="900" kern="1200" dirty="0">
            <a:solidFill>
              <a:sysClr val="windowText" lastClr="000000"/>
            </a:solidFill>
            <a:latin typeface="Calibri"/>
            <a:ea typeface="+mn-ea"/>
            <a:cs typeface="+mn-cs"/>
          </a:endParaRPr>
        </a:p>
      </dsp:txBody>
      <dsp:txXfrm>
        <a:off x="1579873" y="2113720"/>
        <a:ext cx="719081" cy="590917"/>
      </dsp:txXfrm>
    </dsp:sp>
    <dsp:sp modelId="{A3678D73-CE2B-49C5-B841-D0743D2A14AD}">
      <dsp:nvSpPr>
        <dsp:cNvPr id="0" name=""/>
        <dsp:cNvSpPr/>
      </dsp:nvSpPr>
      <dsp:spPr>
        <a:xfrm>
          <a:off x="2333211" y="2095336"/>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dirty="0">
              <a:solidFill>
                <a:sysClr val="windowText" lastClr="000000"/>
              </a:solidFill>
              <a:latin typeface="Calibri"/>
              <a:ea typeface="+mn-ea"/>
              <a:cs typeface="+mn-cs"/>
            </a:rPr>
            <a:t>Ārpus bāzes izdevumi </a:t>
          </a:r>
          <a:endParaRPr lang="en-US" sz="900" kern="1200" dirty="0">
            <a:solidFill>
              <a:sysClr val="windowText" lastClr="000000"/>
            </a:solidFill>
            <a:latin typeface="Calibri"/>
            <a:ea typeface="+mn-ea"/>
            <a:cs typeface="+mn-cs"/>
          </a:endParaRPr>
        </a:p>
      </dsp:txBody>
      <dsp:txXfrm>
        <a:off x="2351595" y="2113720"/>
        <a:ext cx="719081" cy="590917"/>
      </dsp:txXfrm>
    </dsp:sp>
    <dsp:sp modelId="{0DDF095B-974A-4436-A09F-9EBE0CD70A1D}">
      <dsp:nvSpPr>
        <dsp:cNvPr id="0" name=""/>
        <dsp:cNvSpPr/>
      </dsp:nvSpPr>
      <dsp:spPr>
        <a:xfrm>
          <a:off x="3120805" y="1397055"/>
          <a:ext cx="1527570"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v-LV" sz="1600" kern="1200" dirty="0">
              <a:solidFill>
                <a:sysClr val="windowText" lastClr="000000"/>
              </a:solidFill>
              <a:latin typeface="Calibri"/>
              <a:ea typeface="+mn-ea"/>
              <a:cs typeface="+mn-cs"/>
            </a:rPr>
            <a:t>Prioritārie pasākumi </a:t>
          </a:r>
          <a:endParaRPr lang="en-US" sz="1600" kern="1200" dirty="0">
            <a:solidFill>
              <a:sysClr val="windowText" lastClr="000000"/>
            </a:solidFill>
            <a:latin typeface="Calibri"/>
            <a:ea typeface="+mn-ea"/>
            <a:cs typeface="+mn-cs"/>
          </a:endParaRPr>
        </a:p>
      </dsp:txBody>
      <dsp:txXfrm>
        <a:off x="3139189" y="1415439"/>
        <a:ext cx="1490802" cy="590917"/>
      </dsp:txXfrm>
    </dsp:sp>
    <dsp:sp modelId="{40E4BE7B-7696-4577-B6B0-1335C52038B3}">
      <dsp:nvSpPr>
        <dsp:cNvPr id="0" name=""/>
        <dsp:cNvSpPr/>
      </dsp:nvSpPr>
      <dsp:spPr>
        <a:xfrm>
          <a:off x="3120805" y="2095336"/>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dirty="0">
              <a:solidFill>
                <a:sysClr val="windowText" lastClr="000000"/>
              </a:solidFill>
              <a:latin typeface="Calibri"/>
              <a:ea typeface="+mn-ea"/>
              <a:cs typeface="+mn-cs"/>
            </a:rPr>
            <a:t>Fondu finansēti projekti</a:t>
          </a:r>
          <a:endParaRPr lang="en-US" sz="900" kern="1200" dirty="0">
            <a:solidFill>
              <a:sysClr val="windowText" lastClr="000000"/>
            </a:solidFill>
            <a:latin typeface="Calibri"/>
            <a:ea typeface="+mn-ea"/>
            <a:cs typeface="+mn-cs"/>
          </a:endParaRPr>
        </a:p>
      </dsp:txBody>
      <dsp:txXfrm>
        <a:off x="3139189" y="2113720"/>
        <a:ext cx="719081" cy="590917"/>
      </dsp:txXfrm>
    </dsp:sp>
    <dsp:sp modelId="{C67A2CC3-CBFA-4E80-985E-B7DD3F8DB653}">
      <dsp:nvSpPr>
        <dsp:cNvPr id="0" name=""/>
        <dsp:cNvSpPr/>
      </dsp:nvSpPr>
      <dsp:spPr>
        <a:xfrm>
          <a:off x="3892527" y="2095336"/>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dirty="0">
              <a:solidFill>
                <a:sysClr val="windowText" lastClr="000000"/>
              </a:solidFill>
              <a:latin typeface="Calibri"/>
              <a:ea typeface="+mn-ea"/>
              <a:cs typeface="+mn-cs"/>
            </a:rPr>
            <a:t>Pašu finansēti projekti, pasākumi</a:t>
          </a:r>
          <a:endParaRPr lang="en-US" sz="900" kern="1200" dirty="0">
            <a:solidFill>
              <a:sysClr val="windowText" lastClr="000000"/>
            </a:solidFill>
            <a:latin typeface="Calibri"/>
            <a:ea typeface="+mn-ea"/>
            <a:cs typeface="+mn-cs"/>
          </a:endParaRPr>
        </a:p>
      </dsp:txBody>
      <dsp:txXfrm>
        <a:off x="3910911" y="2113720"/>
        <a:ext cx="719081" cy="590917"/>
      </dsp:txXfrm>
    </dsp:sp>
    <dsp:sp modelId="{10E12DEC-BB41-4A7C-AB55-15E288E3E349}">
      <dsp:nvSpPr>
        <dsp:cNvPr id="0" name=""/>
        <dsp:cNvSpPr/>
      </dsp:nvSpPr>
      <dsp:spPr>
        <a:xfrm>
          <a:off x="4711868" y="698774"/>
          <a:ext cx="755849" cy="62768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ysClr val="windowText" lastClr="000000"/>
              </a:solidFill>
              <a:latin typeface="Calibri"/>
              <a:ea typeface="+mn-ea"/>
              <a:cs typeface="+mn-cs"/>
            </a:rPr>
            <a:t>Speciālais budžets</a:t>
          </a:r>
        </a:p>
        <a:p>
          <a:pPr marL="0" lvl="0" indent="0" algn="ctr" defTabSz="533400">
            <a:lnSpc>
              <a:spcPct val="90000"/>
            </a:lnSpc>
            <a:spcBef>
              <a:spcPct val="0"/>
            </a:spcBef>
            <a:spcAft>
              <a:spcPct val="35000"/>
            </a:spcAft>
            <a:buNone/>
          </a:pPr>
          <a:endParaRPr lang="en-US" sz="1000" kern="1200" dirty="0">
            <a:solidFill>
              <a:sysClr val="windowText" lastClr="000000"/>
            </a:solidFill>
            <a:latin typeface="Calibri"/>
            <a:ea typeface="+mn-ea"/>
            <a:cs typeface="+mn-cs"/>
          </a:endParaRPr>
        </a:p>
      </dsp:txBody>
      <dsp:txXfrm>
        <a:off x="4730252" y="717158"/>
        <a:ext cx="719081" cy="5909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26B0D-8E35-43E8-B2AA-42DC9E498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8943</Words>
  <Characters>5098</Characters>
  <Application>Microsoft Office Word</Application>
  <DocSecurity>0</DocSecurity>
  <Lines>42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Inara Lazdina</dc:creator>
  <cp:lastModifiedBy>Inara Lazdina</cp:lastModifiedBy>
  <cp:revision>19</cp:revision>
  <dcterms:created xsi:type="dcterms:W3CDTF">2018-12-17T08:07:00Z</dcterms:created>
  <dcterms:modified xsi:type="dcterms:W3CDTF">2018-12-18T14:06:00Z</dcterms:modified>
</cp:coreProperties>
</file>